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28" w:rsidRPr="001736B4" w:rsidRDefault="00166028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D24B04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</w:t>
      </w:r>
    </w:p>
    <w:p w:rsidR="00D24B04" w:rsidRPr="001736B4" w:rsidRDefault="00D24B04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D24B04" w:rsidRPr="001736B4" w:rsidRDefault="00D24B04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413011" w:rsidRPr="001736B4" w:rsidRDefault="00413011" w:rsidP="0041301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49"/>
          <w:szCs w:val="49"/>
        </w:rPr>
      </w:pPr>
      <w:r w:rsidRPr="001736B4">
        <w:rPr>
          <w:rFonts w:ascii="Times New Roman" w:hAnsi="Times New Roman"/>
          <w:b/>
          <w:sz w:val="49"/>
          <w:szCs w:val="49"/>
        </w:rPr>
        <w:t xml:space="preserve">ROZPOČTOVÉ  OPATRENIE </w:t>
      </w:r>
    </w:p>
    <w:p w:rsidR="00B800AC" w:rsidRPr="001736B4" w:rsidRDefault="00413011" w:rsidP="0041301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49"/>
          <w:szCs w:val="49"/>
        </w:rPr>
      </w:pPr>
      <w:r w:rsidRPr="001736B4">
        <w:rPr>
          <w:rFonts w:ascii="Times New Roman" w:hAnsi="Times New Roman"/>
          <w:b/>
          <w:sz w:val="49"/>
          <w:szCs w:val="49"/>
        </w:rPr>
        <w:t>Č. 1/2012</w:t>
      </w:r>
    </w:p>
    <w:p w:rsidR="00413011" w:rsidRPr="001736B4" w:rsidRDefault="00413011" w:rsidP="00413011">
      <w:pPr>
        <w:tabs>
          <w:tab w:val="left" w:pos="2977"/>
        </w:tabs>
        <w:spacing w:after="0" w:line="240" w:lineRule="auto"/>
        <w:jc w:val="center"/>
        <w:rPr>
          <w:sz w:val="21"/>
          <w:szCs w:val="21"/>
        </w:rPr>
      </w:pPr>
    </w:p>
    <w:p w:rsidR="00B800AC" w:rsidRPr="001736B4" w:rsidRDefault="00B800AC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846561" w:rsidRPr="001736B4" w:rsidRDefault="00846561" w:rsidP="0084656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49"/>
          <w:szCs w:val="49"/>
        </w:rPr>
      </w:pPr>
      <w:r w:rsidRPr="001736B4">
        <w:rPr>
          <w:rFonts w:ascii="Times New Roman" w:hAnsi="Times New Roman"/>
          <w:b/>
          <w:sz w:val="49"/>
          <w:szCs w:val="49"/>
        </w:rPr>
        <w:t>PROGRAMOV</w:t>
      </w:r>
      <w:r w:rsidR="00B800AC" w:rsidRPr="001736B4">
        <w:rPr>
          <w:rFonts w:ascii="Times New Roman" w:hAnsi="Times New Roman"/>
          <w:b/>
          <w:sz w:val="49"/>
          <w:szCs w:val="49"/>
        </w:rPr>
        <w:t>ÉHO</w:t>
      </w:r>
      <w:r w:rsidRPr="001736B4">
        <w:rPr>
          <w:rFonts w:ascii="Times New Roman" w:hAnsi="Times New Roman"/>
          <w:b/>
          <w:sz w:val="49"/>
          <w:szCs w:val="49"/>
        </w:rPr>
        <w:t xml:space="preserve">  ROZPOČT</w:t>
      </w:r>
      <w:r w:rsidR="00B800AC" w:rsidRPr="001736B4">
        <w:rPr>
          <w:rFonts w:ascii="Times New Roman" w:hAnsi="Times New Roman"/>
          <w:b/>
          <w:sz w:val="49"/>
          <w:szCs w:val="49"/>
        </w:rPr>
        <w:t>U</w:t>
      </w:r>
      <w:r w:rsidRPr="001736B4">
        <w:rPr>
          <w:rFonts w:ascii="Times New Roman" w:hAnsi="Times New Roman"/>
          <w:b/>
          <w:sz w:val="49"/>
          <w:szCs w:val="49"/>
        </w:rPr>
        <w:t xml:space="preserve">   </w:t>
      </w:r>
    </w:p>
    <w:p w:rsidR="00846561" w:rsidRPr="001736B4" w:rsidRDefault="00846561" w:rsidP="0084656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49"/>
          <w:szCs w:val="49"/>
        </w:rPr>
      </w:pPr>
    </w:p>
    <w:p w:rsidR="00846561" w:rsidRPr="001736B4" w:rsidRDefault="00846561" w:rsidP="0084656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49"/>
          <w:szCs w:val="49"/>
        </w:rPr>
      </w:pPr>
      <w:r w:rsidRPr="001736B4">
        <w:rPr>
          <w:rFonts w:ascii="Times New Roman" w:hAnsi="Times New Roman"/>
          <w:b/>
          <w:sz w:val="49"/>
          <w:szCs w:val="49"/>
        </w:rPr>
        <w:t>OBCE  NEDOŽERY-BREZANY</w:t>
      </w:r>
    </w:p>
    <w:p w:rsidR="006A6509" w:rsidRPr="001736B4" w:rsidRDefault="006A6509" w:rsidP="00846561">
      <w:pPr>
        <w:tabs>
          <w:tab w:val="left" w:pos="2977"/>
        </w:tabs>
        <w:spacing w:after="0" w:line="240" w:lineRule="auto"/>
        <w:jc w:val="center"/>
        <w:rPr>
          <w:sz w:val="49"/>
          <w:szCs w:val="49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46"/>
          <w:szCs w:val="46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b/>
          <w:sz w:val="34"/>
          <w:szCs w:val="34"/>
        </w:rPr>
      </w:pPr>
      <w:r w:rsidRPr="001736B4">
        <w:rPr>
          <w:rFonts w:ascii="Times New Roman" w:hAnsi="Times New Roman"/>
          <w:b/>
          <w:sz w:val="34"/>
          <w:szCs w:val="34"/>
        </w:rPr>
        <w:t>OBSAH:</w:t>
      </w:r>
    </w:p>
    <w:p w:rsidR="006A6509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3"/>
          <w:szCs w:val="23"/>
        </w:rPr>
        <w:t xml:space="preserve">      </w:t>
      </w:r>
      <w:r w:rsidRPr="001736B4">
        <w:rPr>
          <w:rFonts w:ascii="Times New Roman" w:hAnsi="Times New Roman"/>
          <w:sz w:val="27"/>
          <w:szCs w:val="27"/>
        </w:rPr>
        <w:t xml:space="preserve">Program 1. : </w:t>
      </w:r>
      <w:r w:rsidR="00B800AC" w:rsidRPr="001736B4">
        <w:rPr>
          <w:rFonts w:ascii="Times New Roman" w:hAnsi="Times New Roman"/>
          <w:sz w:val="27"/>
          <w:szCs w:val="27"/>
        </w:rPr>
        <w:t xml:space="preserve"> </w:t>
      </w:r>
      <w:r w:rsidRPr="001736B4">
        <w:rPr>
          <w:rFonts w:ascii="Times New Roman" w:hAnsi="Times New Roman"/>
          <w:sz w:val="27"/>
          <w:szCs w:val="27"/>
        </w:rPr>
        <w:t>Správa obce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2. : Služby občanom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3. : Kultúra a šport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4. : Verejné rozvody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5. : Odpadové hospodárstvo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6. : Komunikácie a verejné priestranstvá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7. : Vzdelávanie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8. : Sociálne služby</w:t>
      </w:r>
    </w:p>
    <w:p w:rsidR="00846561" w:rsidRPr="001736B4" w:rsidRDefault="00846561" w:rsidP="00F315A8">
      <w:pPr>
        <w:tabs>
          <w:tab w:val="left" w:pos="297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736B4">
        <w:rPr>
          <w:rFonts w:ascii="Times New Roman" w:hAnsi="Times New Roman"/>
          <w:sz w:val="27"/>
          <w:szCs w:val="27"/>
        </w:rPr>
        <w:t xml:space="preserve">      Program 9. : Bývanie</w:t>
      </w: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413011" w:rsidRPr="001736B4" w:rsidRDefault="00413011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6E4EC8" w:rsidRPr="001736B4" w:rsidTr="006E4EC8">
        <w:trPr>
          <w:trHeight w:val="641"/>
        </w:trPr>
        <w:tc>
          <w:tcPr>
            <w:tcW w:w="2425" w:type="pct"/>
            <w:shd w:val="clear" w:color="auto" w:fill="76923C" w:themeFill="accent3" w:themeFillShade="BF"/>
            <w:vAlign w:val="center"/>
          </w:tcPr>
          <w:p w:rsidR="006E4EC8" w:rsidRPr="001736B4" w:rsidRDefault="006E4EC8" w:rsidP="006E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30"/>
                <w:szCs w:val="30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30"/>
                <w:szCs w:val="30"/>
                <w:lang w:eastAsia="sk-SK"/>
              </w:rPr>
              <w:lastRenderedPageBreak/>
              <w:t>VÝDAVKY</w:t>
            </w:r>
          </w:p>
        </w:tc>
        <w:tc>
          <w:tcPr>
            <w:tcW w:w="992" w:type="pct"/>
            <w:shd w:val="clear" w:color="auto" w:fill="76923C" w:themeFill="accent3" w:themeFillShade="BF"/>
            <w:vAlign w:val="center"/>
          </w:tcPr>
          <w:p w:rsidR="0045665C" w:rsidRPr="001736B4" w:rsidRDefault="0045665C" w:rsidP="006E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</w:pPr>
          </w:p>
          <w:p w:rsidR="006E4EC8" w:rsidRPr="001736B4" w:rsidRDefault="0045665C" w:rsidP="006E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  <w:t xml:space="preserve">SCHVÁLENÝ </w:t>
            </w:r>
          </w:p>
          <w:p w:rsidR="006E4EC8" w:rsidRPr="001736B4" w:rsidRDefault="006E4EC8" w:rsidP="006E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  <w:t>1 093</w:t>
            </w:r>
            <w:r w:rsidR="0045665C" w:rsidRPr="001736B4"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  <w:t> </w:t>
            </w: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  <w:t>647</w:t>
            </w:r>
          </w:p>
        </w:tc>
        <w:tc>
          <w:tcPr>
            <w:tcW w:w="944" w:type="pct"/>
            <w:shd w:val="clear" w:color="auto" w:fill="76923C" w:themeFill="accent3" w:themeFillShade="BF"/>
          </w:tcPr>
          <w:p w:rsidR="0045665C" w:rsidRPr="001736B4" w:rsidRDefault="0045665C" w:rsidP="0045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</w:pPr>
          </w:p>
          <w:p w:rsidR="0045665C" w:rsidRPr="001736B4" w:rsidRDefault="00DB082C" w:rsidP="0045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  <w:t>RO č. 1</w:t>
            </w:r>
          </w:p>
          <w:p w:rsidR="006E4EC8" w:rsidRPr="001736B4" w:rsidRDefault="00A474FB" w:rsidP="0045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  <w:t>1 098 970</w:t>
            </w:r>
          </w:p>
        </w:tc>
        <w:tc>
          <w:tcPr>
            <w:tcW w:w="639" w:type="pct"/>
            <w:shd w:val="clear" w:color="auto" w:fill="76923C" w:themeFill="accent3" w:themeFillShade="BF"/>
          </w:tcPr>
          <w:p w:rsidR="00A474FB" w:rsidRPr="001736B4" w:rsidRDefault="00A474FB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</w:pPr>
          </w:p>
          <w:p w:rsidR="00A474FB" w:rsidRPr="001736B4" w:rsidRDefault="00A474FB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15"/>
                <w:szCs w:val="15"/>
                <w:lang w:eastAsia="sk-SK"/>
              </w:rPr>
              <w:t>ROZDIEL</w:t>
            </w:r>
          </w:p>
          <w:p w:rsidR="00A474FB" w:rsidRPr="001736B4" w:rsidRDefault="00A474FB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FFFFFF" w:themeColor="background1"/>
                <w:sz w:val="27"/>
                <w:szCs w:val="27"/>
                <w:lang w:eastAsia="sk-SK"/>
              </w:rPr>
              <w:t>5 303</w:t>
            </w:r>
          </w:p>
        </w:tc>
      </w:tr>
    </w:tbl>
    <w:p w:rsidR="006A6509" w:rsidRPr="001736B4" w:rsidRDefault="006A650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45665C" w:rsidRPr="001736B4" w:rsidTr="0045665C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45665C" w:rsidRPr="001736B4" w:rsidRDefault="0045665C" w:rsidP="0081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1.  SPRÁVA OBCE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45665C" w:rsidRPr="001736B4" w:rsidRDefault="0045665C" w:rsidP="0045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45665C" w:rsidRPr="001736B4" w:rsidRDefault="0045665C" w:rsidP="0045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45665C" w:rsidRPr="001736B4" w:rsidRDefault="0045665C" w:rsidP="0045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209 205</w:t>
            </w:r>
          </w:p>
        </w:tc>
        <w:tc>
          <w:tcPr>
            <w:tcW w:w="944" w:type="pct"/>
            <w:shd w:val="clear" w:color="auto" w:fill="B2A1C7" w:themeFill="accent4" w:themeFillTint="99"/>
          </w:tcPr>
          <w:p w:rsidR="0045665C" w:rsidRPr="001736B4" w:rsidRDefault="0045665C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45665C" w:rsidRPr="001736B4" w:rsidRDefault="00DB082C" w:rsidP="00A52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525EF" w:rsidRPr="001736B4" w:rsidRDefault="00A525EF" w:rsidP="0056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217 </w:t>
            </w:r>
            <w:r w:rsidR="0056661A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537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A525EF" w:rsidRPr="001736B4" w:rsidRDefault="00A525EF" w:rsidP="00A52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45665C" w:rsidRPr="001736B4" w:rsidRDefault="0045665C" w:rsidP="00A52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45665C" w:rsidRPr="001736B4" w:rsidRDefault="00A525EF" w:rsidP="0056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 xml:space="preserve">8 </w:t>
            </w:r>
            <w:r w:rsidR="0056661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332</w:t>
            </w:r>
          </w:p>
        </w:tc>
      </w:tr>
    </w:tbl>
    <w:p w:rsidR="00166028" w:rsidRPr="001736B4" w:rsidRDefault="00166028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2C3659" w:rsidRPr="001736B4" w:rsidRDefault="00F315A8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 xml:space="preserve">Zámer:    </w:t>
      </w:r>
      <w:r w:rsidRPr="001736B4">
        <w:rPr>
          <w:sz w:val="21"/>
          <w:szCs w:val="21"/>
        </w:rPr>
        <w:t>Samospráva, flexibilne reagujúca na potreby obyvateľov</w:t>
      </w:r>
      <w:r w:rsidR="002C3659" w:rsidRPr="001736B4">
        <w:rPr>
          <w:sz w:val="21"/>
          <w:szCs w:val="21"/>
        </w:rPr>
        <w:t xml:space="preserve"> a podnikateľov obce, plánujúca </w:t>
      </w:r>
    </w:p>
    <w:p w:rsidR="002C3659" w:rsidRPr="001736B4" w:rsidRDefault="002C3659" w:rsidP="002C3659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                v zmysle trvalo udržateľného rozvoja a riadiaca všetky procesy s maximálnou efektívnosťou  </w:t>
      </w:r>
    </w:p>
    <w:p w:rsidR="002C3659" w:rsidRPr="001736B4" w:rsidRDefault="002C3659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                a transparentnosťou.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F315A8" w:rsidRPr="001736B4" w:rsidTr="00EA3707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45665C" w:rsidP="00EA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E106A6" w:rsidP="00EA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E106A6" w:rsidP="00EA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F315A8" w:rsidRPr="001736B4" w:rsidTr="00EA3707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F315A8" w:rsidP="00456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0D5277" w:rsidP="00EA37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209 205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A525EF" w:rsidP="005666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 xml:space="preserve">217 </w:t>
            </w:r>
            <w:r w:rsidR="0056661A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537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F315A8" w:rsidRPr="001736B4" w:rsidRDefault="00A525EF" w:rsidP="005666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 xml:space="preserve">8 </w:t>
            </w:r>
            <w:r w:rsidR="0056661A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332</w:t>
            </w:r>
          </w:p>
        </w:tc>
      </w:tr>
    </w:tbl>
    <w:p w:rsidR="00F315A8" w:rsidRPr="001736B4" w:rsidRDefault="00585C2E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 </w:t>
      </w:r>
    </w:p>
    <w:p w:rsidR="00A6142D" w:rsidRPr="001736B4" w:rsidRDefault="00A6142D" w:rsidP="00A6142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36B4">
        <w:rPr>
          <w:rFonts w:ascii="Times New Roman" w:hAnsi="Times New Roman"/>
          <w:sz w:val="23"/>
          <w:szCs w:val="23"/>
        </w:rPr>
        <w:t>Program zahŕňa manažment obce na čele so starostom obce, aktivity a činnosti obce súvisiace s  rozpočtovou, daňovou politikou obce, komplexné vedenie účtovníctva, audítorské služby, kontrolu hospodárenia kontrolórom obce, účasť obce v samosprávnych organizáciách a združeniach, plánovanie rozvoja obce a všetky ostatné aktivity súvisiace so zabezpečením</w:t>
      </w:r>
      <w:r w:rsidR="0081265C" w:rsidRPr="001736B4">
        <w:rPr>
          <w:rFonts w:ascii="Times New Roman" w:hAnsi="Times New Roman"/>
          <w:sz w:val="23"/>
          <w:szCs w:val="23"/>
        </w:rPr>
        <w:t xml:space="preserve"> bezpečnosti a </w:t>
      </w:r>
      <w:r w:rsidRPr="001736B4">
        <w:rPr>
          <w:rFonts w:ascii="Times New Roman" w:hAnsi="Times New Roman"/>
          <w:sz w:val="23"/>
          <w:szCs w:val="23"/>
        </w:rPr>
        <w:t xml:space="preserve">administratívnych služieb pre chod Obecného úradu s cieľom napomôcť všestrannému rozvoju  a prosperite obce pre spokojnosť jej obyvateľov. </w:t>
      </w:r>
    </w:p>
    <w:p w:rsidR="00B20190" w:rsidRPr="001736B4" w:rsidRDefault="00B20190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74"/>
        <w:gridCol w:w="1404"/>
        <w:gridCol w:w="1352"/>
        <w:gridCol w:w="1352"/>
      </w:tblGrid>
      <w:tr w:rsidR="00E106A6" w:rsidRPr="001736B4" w:rsidTr="00E106A6">
        <w:trPr>
          <w:trHeight w:val="641"/>
        </w:trPr>
        <w:tc>
          <w:tcPr>
            <w:tcW w:w="3077" w:type="pct"/>
            <w:shd w:val="clear" w:color="auto" w:fill="FFFFFF" w:themeFill="background1"/>
            <w:vAlign w:val="center"/>
          </w:tcPr>
          <w:p w:rsidR="00E106A6" w:rsidRPr="001736B4" w:rsidRDefault="00E106A6" w:rsidP="002C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1.1  Plánovanie, manažment a kontrola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E106A6" w:rsidRPr="001736B4" w:rsidRDefault="00E106A6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E106A6" w:rsidRPr="001736B4" w:rsidRDefault="00E106A6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E106A6" w:rsidRPr="001736B4" w:rsidRDefault="00E106A6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99</w:t>
            </w:r>
            <w:r w:rsidR="002842A0"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 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274</w:t>
            </w:r>
          </w:p>
          <w:p w:rsidR="002842A0" w:rsidRPr="001736B4" w:rsidRDefault="002842A0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E106A6" w:rsidRPr="001736B4" w:rsidRDefault="00E106A6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DD1E33" w:rsidRPr="001736B4" w:rsidRDefault="00A525EF" w:rsidP="00E1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 xml:space="preserve"> RO č. 1</w:t>
            </w:r>
          </w:p>
          <w:p w:rsidR="00E106A6" w:rsidRPr="001736B4" w:rsidRDefault="00DD1E33" w:rsidP="00DD1E33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100 174</w:t>
            </w:r>
          </w:p>
        </w:tc>
        <w:tc>
          <w:tcPr>
            <w:tcW w:w="633" w:type="pct"/>
            <w:shd w:val="clear" w:color="auto" w:fill="FFFFFF" w:themeFill="background1"/>
          </w:tcPr>
          <w:p w:rsidR="00E106A6" w:rsidRPr="001736B4" w:rsidRDefault="00E106A6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E106A6" w:rsidRPr="001736B4" w:rsidRDefault="00E106A6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DD1E33" w:rsidRPr="001736B4" w:rsidRDefault="00DD1E33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900</w:t>
            </w:r>
          </w:p>
        </w:tc>
      </w:tr>
    </w:tbl>
    <w:p w:rsidR="002C3659" w:rsidRPr="001736B4" w:rsidRDefault="002C3659" w:rsidP="002C3659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E106A6" w:rsidRPr="001736B4" w:rsidRDefault="0081265C" w:rsidP="002C3659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</w:t>
      </w:r>
    </w:p>
    <w:p w:rsidR="0081265C" w:rsidRPr="001736B4" w:rsidRDefault="0081265C" w:rsidP="002C3659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E106A6" w:rsidRPr="001736B4" w:rsidTr="008E7803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A474FB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E106A6" w:rsidRPr="001736B4" w:rsidTr="008E7803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E10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99 274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DD1E33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100 174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DD1E33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900</w:t>
            </w:r>
          </w:p>
        </w:tc>
      </w:tr>
    </w:tbl>
    <w:p w:rsidR="00B20190" w:rsidRPr="001736B4" w:rsidRDefault="00B20190" w:rsidP="002C3659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2C3659" w:rsidRPr="001736B4" w:rsidRDefault="002C3659" w:rsidP="00EA3707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2C3659" w:rsidRPr="001736B4" w:rsidRDefault="002C3659" w:rsidP="002C365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efektívne fungovanie samosprávneho orgánu, a tým aj rast a rozvoj obce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2C3659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zasadnutí obecného zastupiteľstva za rok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2C3659" w:rsidRPr="001736B4" w:rsidTr="00763432">
        <w:trPr>
          <w:trHeight w:val="506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762C5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4762C5" w:rsidRPr="001736B4" w:rsidRDefault="004762C5" w:rsidP="004762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odborných komisií v obci</w:t>
            </w:r>
          </w:p>
        </w:tc>
      </w:tr>
      <w:tr w:rsidR="004762C5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4762C5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762C5" w:rsidRPr="001736B4" w:rsidTr="00EA3707">
        <w:trPr>
          <w:trHeight w:val="506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762C5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4762C5" w:rsidRPr="001736B4" w:rsidRDefault="004762C5" w:rsidP="004762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kontrol vykonaných za rok</w:t>
            </w:r>
          </w:p>
        </w:tc>
      </w:tr>
      <w:tr w:rsidR="004762C5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4762C5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762C5" w:rsidRPr="001736B4" w:rsidTr="00EA3707">
        <w:trPr>
          <w:trHeight w:val="506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20?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62C5" w:rsidRPr="001736B4" w:rsidRDefault="004762C5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76730D" w:rsidRPr="001736B4" w:rsidRDefault="0076730D" w:rsidP="0076730D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Podprogram zahŕňa všetky aktivity a činnosti obce súvisiace s profesionálnym zabezpečením chodu obce vo všetkých aspektoch, t.j. činnosti a aktivity starostu obce a obecného úradu, </w:t>
      </w:r>
      <w:r w:rsidR="00D24B04" w:rsidRPr="001736B4">
        <w:rPr>
          <w:sz w:val="21"/>
          <w:szCs w:val="21"/>
        </w:rPr>
        <w:t xml:space="preserve"> </w:t>
      </w:r>
      <w:r w:rsidRPr="001736B4">
        <w:rPr>
          <w:sz w:val="21"/>
          <w:szCs w:val="21"/>
        </w:rPr>
        <w:t>činnosti Obecného zastupiteľstva a hlavného kontrolóra  obce.</w:t>
      </w:r>
    </w:p>
    <w:p w:rsidR="0076730D" w:rsidRPr="001736B4" w:rsidRDefault="0076730D" w:rsidP="0076730D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Finančné prostriedky vo výške  predstavujú plánované výdavky na mzdy, platy a ostatné osobné</w:t>
      </w:r>
    </w:p>
    <w:p w:rsidR="0076730D" w:rsidRPr="001736B4" w:rsidRDefault="0076730D" w:rsidP="0076730D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vyrovnania, poistné a príspevok do poisťovní starostu,  zamestnancov obecného úradu</w:t>
      </w:r>
      <w:r w:rsidR="008A0B68" w:rsidRPr="001736B4">
        <w:rPr>
          <w:sz w:val="21"/>
          <w:szCs w:val="21"/>
        </w:rPr>
        <w:t xml:space="preserve"> </w:t>
      </w:r>
      <w:r w:rsidRPr="001736B4">
        <w:rPr>
          <w:sz w:val="21"/>
          <w:szCs w:val="21"/>
        </w:rPr>
        <w:t xml:space="preserve"> a odmien poslancov</w:t>
      </w:r>
      <w:r w:rsidR="008A0B68" w:rsidRPr="001736B4">
        <w:rPr>
          <w:sz w:val="21"/>
          <w:szCs w:val="21"/>
        </w:rPr>
        <w:t xml:space="preserve"> a členom komisií,</w:t>
      </w:r>
      <w:r w:rsidR="00D24B04" w:rsidRPr="001736B4">
        <w:rPr>
          <w:sz w:val="21"/>
          <w:szCs w:val="21"/>
        </w:rPr>
        <w:t> zástupcu starostu a výdavky súvisiace s bezpečnosťou a ochranou majetku obce – protipožiarnou ochranou.</w:t>
      </w:r>
    </w:p>
    <w:p w:rsidR="00763432" w:rsidRDefault="00763432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Default="001736B4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E106A6" w:rsidRPr="001736B4" w:rsidTr="00E106A6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E106A6" w:rsidRPr="001736B4" w:rsidRDefault="00E106A6" w:rsidP="00E1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 xml:space="preserve">1.2  Členstvo v záujmových a ostatných      </w:t>
            </w:r>
          </w:p>
          <w:p w:rsidR="00E106A6" w:rsidRPr="001736B4" w:rsidRDefault="00E106A6" w:rsidP="00E1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 xml:space="preserve">        združeniach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E106A6" w:rsidRPr="001736B4" w:rsidRDefault="00E106A6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E106A6" w:rsidRPr="001736B4" w:rsidRDefault="00E106A6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4</w:t>
            </w:r>
            <w:r w:rsidR="00A525EF"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 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108</w:t>
            </w:r>
          </w:p>
        </w:tc>
        <w:tc>
          <w:tcPr>
            <w:tcW w:w="639" w:type="pct"/>
            <w:shd w:val="clear" w:color="auto" w:fill="FFFFFF" w:themeFill="background1"/>
          </w:tcPr>
          <w:p w:rsidR="00A525EF" w:rsidRPr="001736B4" w:rsidRDefault="00A525EF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</w:p>
          <w:p w:rsidR="00A525EF" w:rsidRPr="001736B4" w:rsidRDefault="00A525EF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2842A0" w:rsidRPr="001736B4" w:rsidRDefault="002842A0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4 108</w:t>
            </w:r>
          </w:p>
          <w:p w:rsidR="002842A0" w:rsidRPr="001736B4" w:rsidRDefault="002842A0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E106A6" w:rsidRPr="001736B4" w:rsidRDefault="00E106A6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2842A0" w:rsidRPr="001736B4" w:rsidRDefault="00E106A6" w:rsidP="008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E106A6" w:rsidRPr="001736B4" w:rsidRDefault="002842A0" w:rsidP="002842A0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0</w:t>
            </w:r>
          </w:p>
        </w:tc>
      </w:tr>
    </w:tbl>
    <w:p w:rsidR="0010498F" w:rsidRPr="001736B4" w:rsidRDefault="0010498F" w:rsidP="0010498F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81265C" w:rsidRPr="001736B4" w:rsidRDefault="0081265C" w:rsidP="0081265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E106A6" w:rsidRPr="001736B4" w:rsidRDefault="00E106A6" w:rsidP="0010498F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E106A6" w:rsidRPr="001736B4" w:rsidTr="0081265C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A474FB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E106A6" w:rsidRPr="001736B4" w:rsidTr="0081265C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E106A6" w:rsidP="00E10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2842A0" w:rsidP="00812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4 108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2842A0" w:rsidP="00812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4 108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E106A6" w:rsidRPr="001736B4" w:rsidRDefault="002842A0" w:rsidP="00812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0</w:t>
            </w:r>
          </w:p>
        </w:tc>
      </w:tr>
    </w:tbl>
    <w:p w:rsidR="0010498F" w:rsidRPr="001736B4" w:rsidRDefault="0010498F" w:rsidP="0010498F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10498F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10498F" w:rsidRPr="001736B4" w:rsidRDefault="0010498F" w:rsidP="0081265C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10498F" w:rsidRPr="001736B4" w:rsidRDefault="0010498F" w:rsidP="0081265C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Rešpektovanie záujmov obce pri rozvoji regiónu</w:t>
            </w:r>
          </w:p>
        </w:tc>
      </w:tr>
      <w:tr w:rsidR="0010498F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členstiev v samosprávnych organizáciách</w:t>
            </w:r>
          </w:p>
        </w:tc>
      </w:tr>
      <w:tr w:rsidR="0010498F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10498F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10498F" w:rsidRPr="001736B4" w:rsidTr="0081265C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0498F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9A6CE4" w:rsidRPr="001736B4" w:rsidRDefault="0010498F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Obec  Nedožery-Brezany je členom 5 samosprávnych združení: </w:t>
      </w:r>
      <w:r w:rsidR="009A6CE4" w:rsidRPr="001736B4">
        <w:rPr>
          <w:sz w:val="21"/>
          <w:szCs w:val="21"/>
        </w:rPr>
        <w:t xml:space="preserve"> Združenie miest a obcí   Slovenska,  ZMO HN, ZPOZ -Človek človeku, OZ Hornonitrie, RVC Nitra.</w:t>
      </w:r>
    </w:p>
    <w:p w:rsidR="009A6CE4" w:rsidRPr="001736B4" w:rsidRDefault="009A6CE4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Finančné prostriedky predstavujú bežné výdavky na úhradu ročného členského príspevku v týchto organizáciách.</w:t>
      </w:r>
    </w:p>
    <w:p w:rsidR="0010498F" w:rsidRPr="001736B4" w:rsidRDefault="009A6CE4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          </w:t>
      </w:r>
    </w:p>
    <w:p w:rsidR="00071CC2" w:rsidRDefault="00071CC2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2842A0" w:rsidRPr="001736B4" w:rsidTr="002842A0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2842A0" w:rsidRPr="001736B4" w:rsidRDefault="002842A0" w:rsidP="009A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1.3  Propagácia a marketing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1 200</w:t>
            </w:r>
          </w:p>
        </w:tc>
        <w:tc>
          <w:tcPr>
            <w:tcW w:w="639" w:type="pct"/>
            <w:shd w:val="clear" w:color="auto" w:fill="FFFFFF" w:themeFill="background1"/>
          </w:tcPr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525EF" w:rsidRPr="001736B4" w:rsidRDefault="00A525EF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1 400</w:t>
            </w:r>
          </w:p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2842A0" w:rsidRPr="001736B4" w:rsidRDefault="002842A0" w:rsidP="0028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200</w:t>
            </w:r>
          </w:p>
        </w:tc>
      </w:tr>
    </w:tbl>
    <w:p w:rsidR="002C3659" w:rsidRPr="001736B4" w:rsidRDefault="002C3659" w:rsidP="002C3659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81265C" w:rsidRPr="001736B4" w:rsidRDefault="0081265C" w:rsidP="0081265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81265C" w:rsidRPr="001736B4" w:rsidRDefault="0081265C" w:rsidP="002C3659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2842A0" w:rsidRPr="001736B4" w:rsidTr="00EA3707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A474FB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2842A0" w:rsidRPr="001736B4" w:rsidTr="00EA3707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2842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7109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1 200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7109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1400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842A0" w:rsidRPr="001736B4" w:rsidRDefault="002842A0" w:rsidP="007109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 xml:space="preserve">200 </w:t>
            </w:r>
          </w:p>
        </w:tc>
      </w:tr>
    </w:tbl>
    <w:p w:rsidR="002C3659" w:rsidRPr="001736B4" w:rsidRDefault="002C3659" w:rsidP="002C3659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2C3659" w:rsidRPr="001736B4" w:rsidRDefault="002C3659" w:rsidP="00EA3707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2C3659" w:rsidRPr="001736B4" w:rsidRDefault="002A464B" w:rsidP="00EA3707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prezentáciu obce a informovanosť občanov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2C3659" w:rsidRPr="001736B4" w:rsidRDefault="002A464B" w:rsidP="00EA3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vysielaní v regionálnej televízii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640FAE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2C3659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640FAE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2C3659" w:rsidRDefault="00640FAE" w:rsidP="001736B4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Podprogram zahŕňa bežné výdavky na prezentáciu obce v regionálnej televízii, správu a pravidelnú aktualizáciu web stránky obce a odmenu </w:t>
      </w:r>
      <w:r w:rsidR="0071091F" w:rsidRPr="001736B4">
        <w:rPr>
          <w:sz w:val="21"/>
          <w:szCs w:val="21"/>
        </w:rPr>
        <w:t>pre kronikára obce.</w:t>
      </w:r>
    </w:p>
    <w:p w:rsidR="001736B4" w:rsidRPr="001736B4" w:rsidRDefault="001736B4" w:rsidP="001736B4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763432" w:rsidRPr="001736B4" w:rsidRDefault="00763432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8E7803" w:rsidRPr="001736B4" w:rsidTr="008E7803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8E7803" w:rsidRPr="001736B4" w:rsidRDefault="008E7803" w:rsidP="009A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1.4  Interné služby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8E7803" w:rsidRPr="001736B4" w:rsidRDefault="008E7803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ROZPOČET</w:t>
            </w:r>
          </w:p>
          <w:p w:rsidR="008E7803" w:rsidRPr="001736B4" w:rsidRDefault="008E7803" w:rsidP="00EA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104 623</w:t>
            </w:r>
          </w:p>
        </w:tc>
        <w:tc>
          <w:tcPr>
            <w:tcW w:w="639" w:type="pct"/>
            <w:shd w:val="clear" w:color="auto" w:fill="FFFFFF" w:themeFill="background1"/>
          </w:tcPr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BA0DC9" w:rsidRPr="001736B4" w:rsidRDefault="00A525EF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8E7803" w:rsidRPr="001736B4" w:rsidRDefault="00BA0DC9" w:rsidP="009E12BD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111 8</w:t>
            </w:r>
            <w:r w:rsidR="009E12BD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55</w:t>
            </w:r>
          </w:p>
        </w:tc>
        <w:tc>
          <w:tcPr>
            <w:tcW w:w="639" w:type="pct"/>
            <w:shd w:val="clear" w:color="auto" w:fill="FFFFFF" w:themeFill="background1"/>
          </w:tcPr>
          <w:p w:rsidR="008E7803" w:rsidRPr="001736B4" w:rsidRDefault="008E7803" w:rsidP="009E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8E7803" w:rsidRPr="009E12BD" w:rsidRDefault="008E7803" w:rsidP="009E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9E12BD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8E7803" w:rsidRPr="009E12BD" w:rsidRDefault="009E12BD" w:rsidP="009E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9E12B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7 232</w:t>
            </w:r>
          </w:p>
          <w:p w:rsidR="008E7803" w:rsidRPr="001736B4" w:rsidRDefault="008E7803" w:rsidP="009E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2C3659" w:rsidRPr="001736B4" w:rsidRDefault="002C3659" w:rsidP="002C3659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81265C" w:rsidRPr="001736B4" w:rsidRDefault="0081265C" w:rsidP="0081265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81265C" w:rsidRPr="001736B4" w:rsidRDefault="0081265C" w:rsidP="002C3659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8E7803" w:rsidRPr="001736B4" w:rsidTr="00EA3707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8E7803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8E7803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A474FB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8E7803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8E7803" w:rsidRPr="001736B4" w:rsidTr="00EA3707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8E7803" w:rsidP="008E7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8E7803" w:rsidP="00EA37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104 623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BA0DC9" w:rsidP="009E1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111 8</w:t>
            </w:r>
            <w:r w:rsidR="009E12BD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8E7803" w:rsidRPr="001736B4" w:rsidRDefault="0056661A" w:rsidP="00153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7 232</w:t>
            </w:r>
          </w:p>
        </w:tc>
      </w:tr>
    </w:tbl>
    <w:p w:rsidR="00133C40" w:rsidRPr="001736B4" w:rsidRDefault="00133C40" w:rsidP="002C3659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2C3659" w:rsidRPr="001736B4" w:rsidRDefault="002C3659" w:rsidP="00EA3707">
            <w:pPr>
              <w:pStyle w:val="Cie"/>
              <w:rPr>
                <w:rFonts w:ascii="Times New Roman" w:hAnsi="Times New Roman"/>
                <w:sz w:val="13"/>
                <w:szCs w:val="13"/>
              </w:rPr>
            </w:pPr>
            <w:r w:rsidRPr="001736B4">
              <w:rPr>
                <w:rFonts w:ascii="Times New Roman" w:hAnsi="Times New Roman"/>
                <w:sz w:val="13"/>
                <w:szCs w:val="13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2C3659" w:rsidRPr="001736B4" w:rsidRDefault="0071091F" w:rsidP="00EA3707">
            <w:pPr>
              <w:pStyle w:val="Cie"/>
              <w:rPr>
                <w:rFonts w:ascii="Times New Roman" w:hAnsi="Times New Roman"/>
                <w:sz w:val="13"/>
                <w:szCs w:val="13"/>
              </w:rPr>
            </w:pPr>
            <w:r w:rsidRPr="001736B4">
              <w:rPr>
                <w:rFonts w:ascii="Times New Roman" w:hAnsi="Times New Roman"/>
                <w:sz w:val="13"/>
                <w:szCs w:val="13"/>
              </w:rPr>
              <w:t xml:space="preserve">Zabezpečiť plynulú a flexibilnú činnosť obecnej samosprávy vďaka kvalitným službám 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Merateľný </w:t>
            </w:r>
            <w:r w:rsidR="007E21F2"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ňň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2C3659" w:rsidRPr="001736B4" w:rsidRDefault="0071091F" w:rsidP="00EA3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školení zamestnancov za rok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2C3659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8C065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2C3659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8C065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2C3659" w:rsidRPr="001736B4" w:rsidRDefault="002C3659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8C0651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C63112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znaleckých posudkov/počet monitorovacích správ</w:t>
            </w:r>
          </w:p>
        </w:tc>
      </w:tr>
      <w:tr w:rsidR="008C0651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8C0651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 / 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8C0651" w:rsidRPr="001736B4" w:rsidTr="0081265C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 / 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8C0651" w:rsidRPr="001736B4" w:rsidRDefault="008C0651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C63112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C63112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Schválenie ročného hospodárenia audítorom bez výhrad</w:t>
            </w:r>
          </w:p>
        </w:tc>
      </w:tr>
      <w:tr w:rsidR="00C63112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C63112" w:rsidRPr="001736B4" w:rsidTr="0081265C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áno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C63112" w:rsidRPr="001736B4" w:rsidTr="0081265C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10498F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áno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63112" w:rsidRPr="001736B4" w:rsidRDefault="00C63112" w:rsidP="00812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2C3659" w:rsidRPr="001736B4" w:rsidRDefault="00294D6F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Podprogram  zahŕňa všetky aktivity a činnosti obce súvisiace s profesionálnym zabezpečením chodu obce vo všetkých aspektoch.</w:t>
      </w:r>
    </w:p>
    <w:p w:rsidR="002C3659" w:rsidRPr="001736B4" w:rsidRDefault="00675777" w:rsidP="00294D6F">
      <w:pPr>
        <w:spacing w:after="0" w:line="240" w:lineRule="auto"/>
        <w:jc w:val="both"/>
        <w:rPr>
          <w:sz w:val="21"/>
          <w:szCs w:val="21"/>
        </w:rPr>
      </w:pPr>
      <w:r w:rsidRPr="001736B4">
        <w:rPr>
          <w:sz w:val="21"/>
          <w:szCs w:val="21"/>
        </w:rPr>
        <w:t xml:space="preserve">Finančné prostriedky  predstavujú plánované bežné výdavky  určené  výdavky na </w:t>
      </w:r>
      <w:r w:rsidR="00C83C1B" w:rsidRPr="001736B4">
        <w:rPr>
          <w:sz w:val="21"/>
          <w:szCs w:val="21"/>
        </w:rPr>
        <w:t>všeobecný materiál a služby vrátane energií, vody,  rutinnej a štandardnej údržby budov a vnútorného vybavenia, poistného</w:t>
      </w:r>
      <w:r w:rsidR="00294D6F" w:rsidRPr="001736B4">
        <w:rPr>
          <w:sz w:val="21"/>
          <w:szCs w:val="21"/>
        </w:rPr>
        <w:t xml:space="preserve">, </w:t>
      </w:r>
      <w:r w:rsidR="00C83C1B" w:rsidRPr="001736B4">
        <w:rPr>
          <w:sz w:val="21"/>
          <w:szCs w:val="21"/>
        </w:rPr>
        <w:t> </w:t>
      </w:r>
      <w:r w:rsidR="00294D6F" w:rsidRPr="001736B4">
        <w:rPr>
          <w:sz w:val="21"/>
          <w:szCs w:val="21"/>
        </w:rPr>
        <w:t>audi</w:t>
      </w:r>
      <w:r w:rsidR="00C83C1B" w:rsidRPr="001736B4">
        <w:rPr>
          <w:sz w:val="21"/>
          <w:szCs w:val="21"/>
        </w:rPr>
        <w:t xml:space="preserve">torských </w:t>
      </w:r>
      <w:r w:rsidR="00294D6F" w:rsidRPr="001736B4">
        <w:rPr>
          <w:sz w:val="21"/>
          <w:szCs w:val="21"/>
        </w:rPr>
        <w:t>služieb,</w:t>
      </w:r>
      <w:r w:rsidRPr="001736B4">
        <w:rPr>
          <w:sz w:val="21"/>
          <w:szCs w:val="21"/>
        </w:rPr>
        <w:t xml:space="preserve"> stravovanie zamestnancov</w:t>
      </w:r>
      <w:r w:rsidR="00294D6F" w:rsidRPr="001736B4">
        <w:rPr>
          <w:sz w:val="21"/>
          <w:szCs w:val="21"/>
        </w:rPr>
        <w:t xml:space="preserve"> a reprezentačné výdavky. Sú tu zahrnuté výdavky na územný plán obce a splátky úveru na budovu OcÚ. Z kapitálových výdavkov je rozpočtované dokončenie prestrešenia schodiska Obecného úradu.</w:t>
      </w:r>
    </w:p>
    <w:p w:rsidR="007A6A21" w:rsidRPr="001736B4" w:rsidRDefault="007A6A21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DE2F9B" w:rsidRPr="001736B4" w:rsidRDefault="00DE2F9B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DE2F9B" w:rsidRDefault="00DE2F9B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8E7803" w:rsidRPr="001736B4" w:rsidTr="008E7803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2. SLUŽBY OBČANOM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20 623</w:t>
            </w:r>
          </w:p>
        </w:tc>
        <w:tc>
          <w:tcPr>
            <w:tcW w:w="944" w:type="pct"/>
            <w:shd w:val="clear" w:color="auto" w:fill="B2A1C7" w:themeFill="accent4" w:themeFillTint="99"/>
          </w:tcPr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8E7803" w:rsidRPr="001736B4" w:rsidRDefault="00A525EF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27C26" w:rsidRPr="001736B4" w:rsidRDefault="00027C26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23</w:t>
            </w: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 </w:t>
            </w: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623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027C26" w:rsidRPr="001736B4" w:rsidRDefault="00027C26" w:rsidP="008E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8E7803" w:rsidRPr="001736B4" w:rsidRDefault="00027C26" w:rsidP="0002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3 000</w:t>
            </w:r>
          </w:p>
        </w:tc>
      </w:tr>
    </w:tbl>
    <w:p w:rsidR="00DE2F9B" w:rsidRPr="001736B4" w:rsidRDefault="00DE2F9B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205515" w:rsidRPr="001736B4" w:rsidRDefault="00AC4FEF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 xml:space="preserve">Zámer:    </w:t>
      </w:r>
      <w:r w:rsidRPr="001736B4">
        <w:rPr>
          <w:sz w:val="21"/>
          <w:szCs w:val="21"/>
        </w:rPr>
        <w:t xml:space="preserve">Maximálne kvalitné a flexibilné služby samosprávy pre všetkých obyvateľov a podnikateľov </w:t>
      </w:r>
    </w:p>
    <w:p w:rsidR="000A1E67" w:rsidRPr="001736B4" w:rsidRDefault="00AC4FEF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                obce.</w:t>
      </w:r>
    </w:p>
    <w:p w:rsidR="00432543" w:rsidRPr="001736B4" w:rsidRDefault="00432543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20 623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27C26" w:rsidP="00A474FB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7"/>
                <w:szCs w:val="18"/>
              </w:rPr>
            </w:pPr>
            <w:r w:rsidRPr="001736B4">
              <w:rPr>
                <w:rFonts w:ascii="Times New Roman" w:eastAsia="Times New Roman" w:hAnsi="Times New Roman"/>
                <w:b/>
                <w:sz w:val="17"/>
                <w:szCs w:val="18"/>
                <w:lang w:eastAsia="sk-SK"/>
              </w:rPr>
              <w:t>23 623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27C26" w:rsidP="00A474FB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7"/>
                <w:szCs w:val="18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7"/>
                <w:szCs w:val="18"/>
                <w:lang w:eastAsia="sk-SK"/>
              </w:rPr>
              <w:t>3 000</w:t>
            </w:r>
          </w:p>
        </w:tc>
      </w:tr>
    </w:tbl>
    <w:p w:rsidR="00432543" w:rsidRPr="001736B4" w:rsidRDefault="00432543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DE2F9B" w:rsidRDefault="00DE2F9B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Default="001736B4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F315A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854C85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854C85" w:rsidRPr="001736B4" w:rsidRDefault="00854C85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2.1 Spoločný obecný úrad</w:t>
            </w:r>
            <w:r w:rsidR="00C43782"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/Stavebný úrad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27C26" w:rsidRPr="001736B4" w:rsidRDefault="00027C26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854C85" w:rsidRPr="001736B4" w:rsidRDefault="00854C8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854C85" w:rsidRPr="001736B4" w:rsidRDefault="00854C8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5</w:t>
            </w:r>
            <w:r w:rsidR="00C43782"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167</w:t>
            </w:r>
          </w:p>
        </w:tc>
        <w:tc>
          <w:tcPr>
            <w:tcW w:w="639" w:type="pct"/>
            <w:shd w:val="clear" w:color="auto" w:fill="FFFFFF" w:themeFill="background1"/>
          </w:tcPr>
          <w:p w:rsidR="00854C85" w:rsidRPr="001736B4" w:rsidRDefault="00854C8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854C85" w:rsidRPr="001736B4" w:rsidRDefault="00A525EF" w:rsidP="0085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C43782" w:rsidRPr="001736B4" w:rsidRDefault="00C43782" w:rsidP="0085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5 167</w:t>
            </w:r>
          </w:p>
        </w:tc>
        <w:tc>
          <w:tcPr>
            <w:tcW w:w="639" w:type="pct"/>
            <w:shd w:val="clear" w:color="auto" w:fill="FFFFFF" w:themeFill="background1"/>
          </w:tcPr>
          <w:p w:rsidR="00854C85" w:rsidRPr="001736B4" w:rsidRDefault="00854C8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854C85" w:rsidRPr="001736B4" w:rsidRDefault="00854C8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854C85" w:rsidRPr="001736B4" w:rsidRDefault="00C4378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0A1E67" w:rsidRPr="001736B4" w:rsidRDefault="000A1E67" w:rsidP="00711188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432543" w:rsidRPr="001736B4" w:rsidRDefault="0081265C" w:rsidP="0081265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</w:t>
      </w:r>
    </w:p>
    <w:p w:rsidR="00432543" w:rsidRPr="001736B4" w:rsidRDefault="00432543" w:rsidP="0081265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854C8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5 167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5 167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133C40" w:rsidRPr="001736B4" w:rsidRDefault="0081265C" w:rsidP="00711188">
      <w:pPr>
        <w:spacing w:after="0" w:line="240" w:lineRule="auto"/>
        <w:rPr>
          <w:rFonts w:ascii="Times New Roman" w:hAnsi="Times New Roman"/>
          <w:b/>
          <w:sz w:val="21"/>
        </w:rPr>
      </w:pPr>
      <w:r w:rsidRPr="001736B4">
        <w:rPr>
          <w:rFonts w:ascii="Times New Roman" w:hAnsi="Times New Roman"/>
          <w:b/>
          <w:sz w:val="21"/>
          <w:szCs w:val="21"/>
        </w:rPr>
        <w:t xml:space="preserve">  </w:t>
      </w: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0A1E67" w:rsidRPr="001736B4" w:rsidTr="001C0D86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0A1E67" w:rsidRPr="001736B4" w:rsidRDefault="000A1E67" w:rsidP="00711188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0A1E67" w:rsidRPr="001736B4" w:rsidRDefault="000A1E67" w:rsidP="00711188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kvalitný občiansky servis v stavebných konaniach</w:t>
            </w:r>
          </w:p>
        </w:tc>
      </w:tr>
      <w:tr w:rsidR="000A1E67" w:rsidRPr="001736B4" w:rsidTr="001C0D86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vydaných stavebných povolení za rok</w:t>
            </w:r>
            <w:r w:rsidR="00F315A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/počet kolaudačných rozhodnutí za rok</w:t>
            </w:r>
          </w:p>
        </w:tc>
      </w:tr>
      <w:tr w:rsidR="000A1E67" w:rsidRPr="001736B4" w:rsidTr="001C0D86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0A1E67" w:rsidRPr="001736B4" w:rsidTr="001C0D86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6321EC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10 / 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0A1E67" w:rsidRPr="001736B4" w:rsidTr="001C0D86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A1E67" w:rsidRPr="001736B4" w:rsidRDefault="000A1E67" w:rsidP="00F551E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6321EC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15 / 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A1E67" w:rsidRPr="001736B4" w:rsidRDefault="000A1E67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763432" w:rsidRPr="001736B4" w:rsidRDefault="002F0BF6" w:rsidP="00711188">
      <w:pPr>
        <w:tabs>
          <w:tab w:val="left" w:pos="2977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>Obec v spolupráci so Spoločným obecným úradom</w:t>
      </w:r>
      <w:r w:rsidR="00522D99" w:rsidRPr="001736B4">
        <w:rPr>
          <w:rFonts w:ascii="Times New Roman" w:hAnsi="Times New Roman"/>
          <w:sz w:val="21"/>
          <w:szCs w:val="21"/>
        </w:rPr>
        <w:t xml:space="preserve">, zabezpečuje </w:t>
      </w:r>
      <w:r w:rsidRPr="001736B4">
        <w:rPr>
          <w:rFonts w:ascii="Times New Roman" w:hAnsi="Times New Roman"/>
          <w:sz w:val="21"/>
          <w:szCs w:val="21"/>
        </w:rPr>
        <w:t>odborné poradenstvo</w:t>
      </w:r>
      <w:r w:rsidR="00522D99" w:rsidRPr="001736B4">
        <w:rPr>
          <w:rFonts w:ascii="Times New Roman" w:hAnsi="Times New Roman"/>
          <w:sz w:val="21"/>
          <w:szCs w:val="21"/>
        </w:rPr>
        <w:t>,  prenesený výkon štátnej správy</w:t>
      </w:r>
      <w:r w:rsidRPr="001736B4">
        <w:rPr>
          <w:rFonts w:ascii="Times New Roman" w:hAnsi="Times New Roman"/>
          <w:sz w:val="21"/>
          <w:szCs w:val="21"/>
        </w:rPr>
        <w:t xml:space="preserve"> na úseku stavebníctva, najmä pri vydávaní stavebných  povolení pre občanov, ako aj pre organizácie nachádzajúce sa na území obce.</w:t>
      </w:r>
    </w:p>
    <w:p w:rsidR="00DE2F9B" w:rsidRPr="001736B4" w:rsidRDefault="00DE2F9B" w:rsidP="00711188">
      <w:pPr>
        <w:tabs>
          <w:tab w:val="left" w:pos="2977"/>
        </w:tabs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2.2  Evidencia obyvateľov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690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C43782" w:rsidRPr="001736B4" w:rsidRDefault="00A525EF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C43782" w:rsidP="00C4378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690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C4378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205515" w:rsidRPr="001736B4" w:rsidRDefault="00205515" w:rsidP="00711188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071CC2" w:rsidRPr="001736B4" w:rsidRDefault="00071CC2" w:rsidP="00071CC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432543" w:rsidRPr="001736B4" w:rsidRDefault="00432543" w:rsidP="00071CC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690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690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711188" w:rsidRPr="001736B4" w:rsidRDefault="00711188" w:rsidP="00DE2F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18591F" w:rsidRPr="001736B4" w:rsidRDefault="0018591F" w:rsidP="00DE2F9B">
            <w:pPr>
              <w:pStyle w:val="Cie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18591F" w:rsidRPr="001736B4" w:rsidRDefault="0018591F" w:rsidP="0018591F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evidenciu obyvateľov a register občanov v súlade s platnou legislatívou</w:t>
            </w:r>
          </w:p>
        </w:tc>
      </w:tr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18591F" w:rsidRPr="001736B4" w:rsidRDefault="0018591F" w:rsidP="00F267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F267E1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narodených občanov/ počet zomrelých občanov za rok</w:t>
            </w:r>
          </w:p>
        </w:tc>
      </w:tr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15 /15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18591F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16 / 26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F267E1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F267E1" w:rsidRPr="001736B4" w:rsidRDefault="00F267E1" w:rsidP="00F267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prisťahovaných  občanov/počet odsťahovaných občanov</w:t>
            </w:r>
          </w:p>
        </w:tc>
      </w:tr>
      <w:tr w:rsidR="00F267E1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F267E1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30 / 10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F267E1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54 / 31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267E1" w:rsidRPr="001736B4" w:rsidRDefault="00F267E1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DE2F9B" w:rsidRPr="001736B4" w:rsidRDefault="00DE2F9B" w:rsidP="00DE2F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F315A8" w:rsidRDefault="00F315A8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Evidencia obyvateľov vykonáva hlásenia pobytov občanov a vedie register obyvateľov .</w:t>
      </w:r>
    </w:p>
    <w:p w:rsidR="001736B4" w:rsidRPr="001736B4" w:rsidRDefault="001736B4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p w:rsidR="00DE2F9B" w:rsidRPr="001736B4" w:rsidRDefault="00DE2F9B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2.3  Matrika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6 770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C4378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C43782" w:rsidP="00C4378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6 770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C4378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205515" w:rsidRPr="001736B4" w:rsidRDefault="00205515" w:rsidP="00071CC2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071CC2" w:rsidRPr="001736B4" w:rsidRDefault="00071CC2" w:rsidP="00071CC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Matrikárka      </w:t>
      </w:r>
    </w:p>
    <w:p w:rsidR="00432543" w:rsidRPr="001736B4" w:rsidRDefault="00432543" w:rsidP="00071CC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6 770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6 770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133C40" w:rsidRPr="001736B4" w:rsidRDefault="00133C40" w:rsidP="00DE2F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AF10F2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AF10F2" w:rsidRPr="001736B4" w:rsidRDefault="00AF10F2" w:rsidP="00711188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AF10F2" w:rsidRPr="001736B4" w:rsidRDefault="00AF10F2" w:rsidP="00711188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 xml:space="preserve">Zabezpečiť </w:t>
            </w:r>
            <w:r w:rsidR="00671208" w:rsidRPr="001736B4">
              <w:rPr>
                <w:rFonts w:ascii="Times New Roman" w:hAnsi="Times New Roman"/>
                <w:sz w:val="15"/>
                <w:szCs w:val="15"/>
              </w:rPr>
              <w:t>kvalitné služby pri matričných úkonoch</w:t>
            </w:r>
          </w:p>
        </w:tc>
      </w:tr>
      <w:tr w:rsidR="00AF10F2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AF10F2" w:rsidRPr="001736B4" w:rsidRDefault="00AF10F2" w:rsidP="0018591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67120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matričných zápisov za rok </w:t>
            </w:r>
          </w:p>
        </w:tc>
      </w:tr>
      <w:tr w:rsidR="00AF10F2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AF10F2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18591F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55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AF10F2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F10F2" w:rsidRPr="001736B4" w:rsidRDefault="00AF10F2" w:rsidP="00F551E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18591F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65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18591F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54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AF10F2" w:rsidRPr="001736B4" w:rsidRDefault="00AF10F2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071CC2" w:rsidRPr="001736B4" w:rsidRDefault="00071CC2" w:rsidP="00133C40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33C40" w:rsidRPr="001736B4" w:rsidRDefault="001E721B" w:rsidP="00133C40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Matričný úrad zapisuje všetky matričné udalosti, ktoré nastali v matričnom obvode a vydáva príslušné výpisy.</w:t>
      </w:r>
      <w:r w:rsidR="00881153" w:rsidRPr="001736B4">
        <w:rPr>
          <w:sz w:val="21"/>
          <w:szCs w:val="21"/>
        </w:rPr>
        <w:t xml:space="preserve"> </w:t>
      </w:r>
    </w:p>
    <w:p w:rsidR="00763432" w:rsidRPr="001736B4" w:rsidRDefault="00F315A8" w:rsidP="00133C40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Finančné prostriedky sú určené na úhradu nákladov preneseného výkonu štátnej správy na úseku evidencie obyvateľstva a matrík.</w:t>
      </w:r>
    </w:p>
    <w:p w:rsidR="0003737A" w:rsidRDefault="0003737A" w:rsidP="00133C40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133C40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DE2F9B" w:rsidRPr="001736B4" w:rsidRDefault="00DE2F9B" w:rsidP="00133C40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74"/>
        <w:gridCol w:w="1404"/>
        <w:gridCol w:w="1352"/>
        <w:gridCol w:w="1352"/>
      </w:tblGrid>
      <w:tr w:rsidR="0003737A" w:rsidRPr="001736B4" w:rsidTr="0003737A">
        <w:trPr>
          <w:trHeight w:val="641"/>
        </w:trPr>
        <w:tc>
          <w:tcPr>
            <w:tcW w:w="3077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2.4 Správa cintorína, Domy smútku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7 996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C4378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C43782" w:rsidP="00C4378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10 996</w:t>
            </w:r>
          </w:p>
        </w:tc>
        <w:tc>
          <w:tcPr>
            <w:tcW w:w="633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C4378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3 000</w:t>
            </w:r>
          </w:p>
        </w:tc>
      </w:tr>
    </w:tbl>
    <w:p w:rsidR="003147E9" w:rsidRPr="001736B4" w:rsidRDefault="003147E9" w:rsidP="00071CC2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071CC2" w:rsidRPr="001736B4" w:rsidRDefault="00071CC2" w:rsidP="00071CC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432543" w:rsidRPr="001736B4" w:rsidRDefault="00432543" w:rsidP="00071CC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</w:t>
            </w:r>
            <w:r w:rsidR="00231DEB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 </w:t>
            </w: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996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231DEB" w:rsidRDefault="00231DEB" w:rsidP="00231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</w:p>
          <w:p w:rsidR="00432543" w:rsidRPr="00231DEB" w:rsidRDefault="00231DEB" w:rsidP="00231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231DEB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10 996</w:t>
            </w:r>
          </w:p>
          <w:p w:rsidR="00231DEB" w:rsidRPr="001736B4" w:rsidRDefault="00231DEB" w:rsidP="00A474FB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7"/>
                <w:szCs w:val="17"/>
              </w:rPr>
            </w:pP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231DEB" w:rsidRDefault="00231DE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231DEB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3 000</w:t>
            </w:r>
          </w:p>
        </w:tc>
      </w:tr>
    </w:tbl>
    <w:p w:rsidR="003147E9" w:rsidRPr="001736B4" w:rsidRDefault="003147E9" w:rsidP="00DE2F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3147E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3147E9" w:rsidRPr="001736B4" w:rsidRDefault="003147E9" w:rsidP="00711188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3147E9" w:rsidRPr="001736B4" w:rsidRDefault="003147E9" w:rsidP="00711188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dôstojné miesto pre posledný odpočinok</w:t>
            </w:r>
          </w:p>
        </w:tc>
      </w:tr>
      <w:tr w:rsidR="003147E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3147E9" w:rsidRPr="001736B4" w:rsidRDefault="003147E9" w:rsidP="001D3B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1D3B1E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uzatvorených zmlúv na hrobové miesta za rok</w:t>
            </w:r>
          </w:p>
        </w:tc>
      </w:tr>
      <w:tr w:rsidR="003147E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3147E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1D3B1E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3147E9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47E9" w:rsidRPr="001736B4" w:rsidRDefault="003147E9" w:rsidP="00F551E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Skutočná hodnota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1D3B1E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1D3B1E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3147E9" w:rsidRPr="001736B4" w:rsidRDefault="003147E9" w:rsidP="007111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071CC2" w:rsidRPr="001736B4" w:rsidRDefault="00071CC2" w:rsidP="00522D99">
      <w:pPr>
        <w:tabs>
          <w:tab w:val="left" w:pos="2977"/>
        </w:tabs>
        <w:spacing w:line="240" w:lineRule="auto"/>
        <w:rPr>
          <w:sz w:val="21"/>
          <w:szCs w:val="21"/>
        </w:rPr>
      </w:pPr>
    </w:p>
    <w:p w:rsidR="00711188" w:rsidRPr="001736B4" w:rsidRDefault="00711188" w:rsidP="00522D99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V rámci správy 2 cintorínov</w:t>
      </w:r>
      <w:r w:rsidR="0018591F" w:rsidRPr="001736B4">
        <w:rPr>
          <w:sz w:val="21"/>
          <w:szCs w:val="21"/>
        </w:rPr>
        <w:t xml:space="preserve"> a 2 Domov smútkov</w:t>
      </w:r>
      <w:r w:rsidRPr="001736B4">
        <w:rPr>
          <w:sz w:val="21"/>
          <w:szCs w:val="21"/>
        </w:rPr>
        <w:t xml:space="preserve"> obec zabezpečuje pohrebné miesta pre zosnulých občanov</w:t>
      </w:r>
      <w:r w:rsidR="001D58CF" w:rsidRPr="001736B4">
        <w:rPr>
          <w:sz w:val="21"/>
          <w:szCs w:val="21"/>
        </w:rPr>
        <w:t xml:space="preserve"> a údržbu areálu cintorínov a Domov smútku.</w:t>
      </w:r>
    </w:p>
    <w:p w:rsidR="00DE2F9B" w:rsidRPr="001736B4" w:rsidRDefault="00DE2F9B" w:rsidP="00522D99">
      <w:pPr>
        <w:tabs>
          <w:tab w:val="left" w:pos="2977"/>
        </w:tabs>
        <w:spacing w:line="240" w:lineRule="auto"/>
        <w:rPr>
          <w:sz w:val="21"/>
          <w:szCs w:val="21"/>
        </w:rPr>
      </w:pPr>
    </w:p>
    <w:p w:rsidR="00DE2F9B" w:rsidRDefault="00DE2F9B" w:rsidP="00522D99">
      <w:pPr>
        <w:tabs>
          <w:tab w:val="left" w:pos="2977"/>
        </w:tabs>
        <w:spacing w:line="240" w:lineRule="auto"/>
        <w:rPr>
          <w:sz w:val="21"/>
          <w:szCs w:val="21"/>
        </w:rPr>
      </w:pPr>
    </w:p>
    <w:p w:rsidR="001736B4" w:rsidRPr="001736B4" w:rsidRDefault="001736B4" w:rsidP="00522D99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8E7803" w:rsidRPr="001736B4" w:rsidTr="008E7803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8E7803" w:rsidRPr="001736B4" w:rsidRDefault="00FC359D" w:rsidP="008E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3. KULTÚRA A ŠPORT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8E7803" w:rsidRPr="001736B4" w:rsidRDefault="00FC359D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63 135</w:t>
            </w:r>
          </w:p>
        </w:tc>
        <w:tc>
          <w:tcPr>
            <w:tcW w:w="944" w:type="pct"/>
            <w:shd w:val="clear" w:color="auto" w:fill="B2A1C7" w:themeFill="accent4" w:themeFillTint="99"/>
          </w:tcPr>
          <w:p w:rsidR="008E7803" w:rsidRPr="001736B4" w:rsidRDefault="008E7803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8E7803" w:rsidRPr="001736B4" w:rsidRDefault="00A525EF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C43782" w:rsidRPr="001736B4" w:rsidRDefault="00C43782" w:rsidP="008E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63</w:t>
            </w: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 </w:t>
            </w: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501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C43782" w:rsidRPr="001736B4" w:rsidRDefault="00C43782" w:rsidP="008E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8E7803" w:rsidRPr="001736B4" w:rsidRDefault="008E7803" w:rsidP="00C4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8E7803" w:rsidRPr="001736B4" w:rsidRDefault="00C43782" w:rsidP="00C4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366</w:t>
            </w:r>
          </w:p>
        </w:tc>
      </w:tr>
    </w:tbl>
    <w:p w:rsidR="00522D99" w:rsidRPr="001736B4" w:rsidRDefault="00522D99" w:rsidP="00522D99">
      <w:pPr>
        <w:tabs>
          <w:tab w:val="left" w:pos="2977"/>
        </w:tabs>
        <w:spacing w:line="240" w:lineRule="auto"/>
        <w:rPr>
          <w:sz w:val="21"/>
          <w:szCs w:val="21"/>
        </w:rPr>
      </w:pPr>
    </w:p>
    <w:p w:rsidR="00774657" w:rsidRPr="001736B4" w:rsidRDefault="00774657" w:rsidP="00774657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 xml:space="preserve">Zámer:  </w:t>
      </w:r>
      <w:r w:rsidRPr="001736B4">
        <w:rPr>
          <w:sz w:val="21"/>
          <w:szCs w:val="21"/>
        </w:rPr>
        <w:t>Vytvoriť občanom priestor pre aktívny odpočinok a možnosť zúčastniť sa spolu so spoluobčanmi   spoločenských podujatí.</w:t>
      </w:r>
    </w:p>
    <w:p w:rsidR="00432543" w:rsidRPr="001736B4" w:rsidRDefault="00432543" w:rsidP="00774657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63 135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63 501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366</w:t>
            </w:r>
          </w:p>
        </w:tc>
      </w:tr>
    </w:tbl>
    <w:p w:rsidR="00432543" w:rsidRPr="001736B4" w:rsidRDefault="00432543" w:rsidP="00774657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3.1 Kultúrne podujatia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9 500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C4378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C43782" w:rsidP="00C4378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9 500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C4378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0D50B5" w:rsidRPr="001736B4" w:rsidRDefault="000D50B5" w:rsidP="000D50B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71CC2" w:rsidRPr="001736B4" w:rsidRDefault="000D50B5" w:rsidP="000D50B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432543" w:rsidRPr="001736B4" w:rsidRDefault="00432543" w:rsidP="000D50B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9 500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9 500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545538" w:rsidRPr="001736B4" w:rsidRDefault="00545538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77465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774657" w:rsidRPr="001736B4" w:rsidRDefault="00774657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774657" w:rsidRPr="001736B4" w:rsidRDefault="00774657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 xml:space="preserve">Zabezpečiť </w:t>
            </w:r>
            <w:r w:rsidR="00F551E5" w:rsidRPr="001736B4">
              <w:rPr>
                <w:rFonts w:ascii="Times New Roman" w:hAnsi="Times New Roman"/>
                <w:sz w:val="15"/>
                <w:szCs w:val="15"/>
              </w:rPr>
              <w:t>vyváženú a širokú ponuku kultúrnych aktivít</w:t>
            </w:r>
            <w:r w:rsidR="00EA1A15" w:rsidRPr="001736B4">
              <w:rPr>
                <w:rFonts w:ascii="Times New Roman" w:hAnsi="Times New Roman"/>
                <w:sz w:val="15"/>
                <w:szCs w:val="15"/>
              </w:rPr>
              <w:t xml:space="preserve"> počas celého roka</w:t>
            </w:r>
          </w:p>
        </w:tc>
      </w:tr>
      <w:tr w:rsidR="0077465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774657" w:rsidRPr="001736B4" w:rsidRDefault="00774657" w:rsidP="001D3B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1D3B1E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kultúrno-spoločenských podujatí za rok</w:t>
            </w:r>
          </w:p>
        </w:tc>
      </w:tr>
      <w:tr w:rsidR="0077465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77465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1D3B1E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145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774657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74657" w:rsidRPr="001736B4" w:rsidRDefault="00774657" w:rsidP="00F551E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1D3B1E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148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774657" w:rsidRPr="001736B4" w:rsidRDefault="0077465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03737A" w:rsidRPr="001736B4" w:rsidRDefault="00181307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V podprograme finančné prostriedky zahŕňajú výdavky na kultúrne podujatia </w:t>
      </w:r>
      <w:r w:rsidR="006321EC" w:rsidRPr="001736B4">
        <w:rPr>
          <w:sz w:val="21"/>
          <w:szCs w:val="21"/>
        </w:rPr>
        <w:t xml:space="preserve">, </w:t>
      </w:r>
      <w:r w:rsidR="00D9224B" w:rsidRPr="001736B4">
        <w:rPr>
          <w:sz w:val="21"/>
          <w:szCs w:val="21"/>
        </w:rPr>
        <w:t xml:space="preserve"> na doplnenie knižného fondu v Obecnej knižnici, </w:t>
      </w:r>
      <w:r w:rsidR="006321EC" w:rsidRPr="001736B4">
        <w:rPr>
          <w:sz w:val="21"/>
          <w:szCs w:val="21"/>
        </w:rPr>
        <w:t xml:space="preserve">doplnenie Obecného múzea, </w:t>
      </w:r>
      <w:r w:rsidR="00A041D9" w:rsidRPr="001736B4">
        <w:rPr>
          <w:sz w:val="21"/>
          <w:szCs w:val="21"/>
        </w:rPr>
        <w:t xml:space="preserve"> výdavky na  mzdu</w:t>
      </w:r>
      <w:r w:rsidR="006321EC" w:rsidRPr="001736B4">
        <w:rPr>
          <w:sz w:val="21"/>
          <w:szCs w:val="21"/>
        </w:rPr>
        <w:t xml:space="preserve"> a odvody do pisťovní</w:t>
      </w:r>
      <w:r w:rsidR="00A041D9" w:rsidRPr="001736B4">
        <w:rPr>
          <w:sz w:val="21"/>
          <w:szCs w:val="21"/>
        </w:rPr>
        <w:t>, poplatok SOZA, a</w:t>
      </w:r>
      <w:r w:rsidR="005B6A4B" w:rsidRPr="001736B4">
        <w:rPr>
          <w:sz w:val="21"/>
          <w:szCs w:val="21"/>
        </w:rPr>
        <w:t xml:space="preserve"> sú tu rozpočtované aj výdavky na </w:t>
      </w:r>
      <w:r w:rsidRPr="001736B4">
        <w:rPr>
          <w:sz w:val="21"/>
          <w:szCs w:val="21"/>
        </w:rPr>
        <w:t xml:space="preserve">odmeny </w:t>
      </w:r>
      <w:r w:rsidR="00D9224B" w:rsidRPr="001736B4">
        <w:rPr>
          <w:sz w:val="21"/>
          <w:szCs w:val="21"/>
        </w:rPr>
        <w:t xml:space="preserve">občanom,  ktorí sa podieľali na tvorbe monografie o obci </w:t>
      </w:r>
      <w:r w:rsidR="006321EC" w:rsidRPr="001736B4">
        <w:rPr>
          <w:sz w:val="21"/>
          <w:szCs w:val="21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3.2 Klub dôchodcov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800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C4378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C43782" w:rsidP="00C4378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800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C4378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494E6F" w:rsidRPr="001736B4" w:rsidRDefault="00494E6F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432543" w:rsidRPr="001736B4" w:rsidRDefault="000E2500" w:rsidP="000E250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Predsedníčka Klubu dôchodcov     </w:t>
      </w:r>
    </w:p>
    <w:p w:rsidR="00432543" w:rsidRPr="001736B4" w:rsidRDefault="000E2500" w:rsidP="000E250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C4378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BC3552" w:rsidRPr="001736B4" w:rsidRDefault="00BC3552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B642AB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B642AB" w:rsidRPr="001736B4" w:rsidRDefault="00B642AB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B642AB" w:rsidRPr="001736B4" w:rsidRDefault="00B642AB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podmienky pre kvalitné a atraktívne trávenie voľného času seniorov</w:t>
            </w:r>
          </w:p>
        </w:tc>
      </w:tr>
      <w:tr w:rsidR="00B642AB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B642AB" w:rsidRPr="001736B4" w:rsidRDefault="00B642AB" w:rsidP="00B642A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 aktivít Klubu dôchodcov</w:t>
            </w:r>
            <w:r w:rsidR="00881153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/počet členov klubu</w:t>
            </w:r>
          </w:p>
        </w:tc>
      </w:tr>
      <w:tr w:rsidR="00B642AB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B642AB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881153" w:rsidP="008811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29 / 170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B642AB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5D4068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29 / </w:t>
            </w:r>
            <w:r w:rsidR="00881153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162 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B642AB" w:rsidRPr="001736B4" w:rsidRDefault="00B642A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7A6A21" w:rsidRPr="001736B4" w:rsidRDefault="007A6A21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3.3 Šport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6 035</w:t>
            </w:r>
          </w:p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5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5218DC" w:rsidRPr="001736B4" w:rsidRDefault="00A525EF" w:rsidP="005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5218DC" w:rsidP="005218DC">
            <w:pPr>
              <w:jc w:val="center"/>
              <w:rPr>
                <w:rFonts w:ascii="Times New Roman" w:eastAsia="Times New Roman" w:hAnsi="Times New Roman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6 035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5218DC" w:rsidP="0003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9076BD" w:rsidRPr="001736B4" w:rsidRDefault="009076BD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432543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</w:t>
      </w:r>
    </w:p>
    <w:p w:rsidR="00432543" w:rsidRPr="001736B4" w:rsidRDefault="00432543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6 035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6 035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F766D7" w:rsidRPr="001736B4" w:rsidRDefault="002F07D6" w:rsidP="001D58C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EA1A15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EA1A15" w:rsidRPr="001736B4" w:rsidRDefault="00EA1A15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A1A15" w:rsidRPr="001736B4" w:rsidRDefault="00EA1A15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Podporiť široké spektrum aktivít pre všetky vekové skupiny občanov obce</w:t>
            </w:r>
          </w:p>
        </w:tc>
      </w:tr>
      <w:tr w:rsidR="00EA1A15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EA1A15" w:rsidRPr="001736B4" w:rsidRDefault="00EA1A15" w:rsidP="00EA1A1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spravovaných ihrísk</w:t>
            </w:r>
            <w:r w:rsidR="005D40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/počet tenisových kurtov</w:t>
            </w:r>
          </w:p>
        </w:tc>
      </w:tr>
      <w:tr w:rsidR="00EA1A15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EA1A15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5D4068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4 / 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EA1A15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5D4068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4 / 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EA1A15" w:rsidRPr="001736B4" w:rsidRDefault="00EA1A15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9076BD" w:rsidRPr="001736B4" w:rsidRDefault="009076BD" w:rsidP="0071118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3.4 Športová infraštruktúra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45 300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5218DC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5218DC" w:rsidP="005218DC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44 966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5218D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-334</w:t>
            </w:r>
          </w:p>
        </w:tc>
      </w:tr>
    </w:tbl>
    <w:p w:rsidR="001D58CF" w:rsidRPr="001736B4" w:rsidRDefault="001D58CF" w:rsidP="002F07D6">
      <w:pPr>
        <w:spacing w:after="0" w:line="240" w:lineRule="auto"/>
        <w:rPr>
          <w:sz w:val="21"/>
          <w:szCs w:val="21"/>
        </w:rPr>
      </w:pPr>
    </w:p>
    <w:p w:rsidR="00432543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03737A" w:rsidRPr="001736B4" w:rsidRDefault="0003737A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45 300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44 966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-334</w:t>
            </w:r>
          </w:p>
        </w:tc>
      </w:tr>
    </w:tbl>
    <w:p w:rsidR="001736B4" w:rsidRDefault="001736B4" w:rsidP="001736B4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D58CF" w:rsidRPr="001736B4" w:rsidRDefault="00B642AB" w:rsidP="00F023C6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Finančné prostriedky v podprograme sú vyčlenené</w:t>
      </w:r>
      <w:r w:rsidR="005B6A4B" w:rsidRPr="001736B4">
        <w:rPr>
          <w:sz w:val="21"/>
          <w:szCs w:val="21"/>
        </w:rPr>
        <w:t xml:space="preserve"> z kapitálových výdavkov</w:t>
      </w:r>
      <w:r w:rsidRPr="001736B4">
        <w:rPr>
          <w:sz w:val="21"/>
          <w:szCs w:val="21"/>
        </w:rPr>
        <w:t xml:space="preserve"> na zabezpečenie dokončenia </w:t>
      </w:r>
      <w:r w:rsidR="00F023C6" w:rsidRPr="001736B4">
        <w:rPr>
          <w:sz w:val="21"/>
          <w:szCs w:val="21"/>
        </w:rPr>
        <w:t>rekonštrukcie športových</w:t>
      </w:r>
      <w:r w:rsidR="005B6A4B" w:rsidRPr="001736B4">
        <w:rPr>
          <w:sz w:val="21"/>
          <w:szCs w:val="21"/>
        </w:rPr>
        <w:t xml:space="preserve"> priestorov</w:t>
      </w:r>
      <w:r w:rsidR="00F023C6" w:rsidRPr="001736B4">
        <w:rPr>
          <w:sz w:val="21"/>
          <w:szCs w:val="21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3.5 Zbor pre občianske záležitosti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1 500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5218DC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5218DC" w:rsidP="005218DC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2 200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5218D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700</w:t>
            </w:r>
          </w:p>
        </w:tc>
      </w:tr>
    </w:tbl>
    <w:p w:rsidR="0003737A" w:rsidRPr="001736B4" w:rsidRDefault="0003737A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432543" w:rsidRPr="001736B4" w:rsidRDefault="00432543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1 500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2 200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700</w:t>
            </w:r>
          </w:p>
        </w:tc>
      </w:tr>
    </w:tbl>
    <w:p w:rsidR="00BC3552" w:rsidRPr="001736B4" w:rsidRDefault="00BC3552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18591F" w:rsidRPr="001736B4" w:rsidRDefault="0018591F" w:rsidP="00EA3707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18591F" w:rsidRPr="001736B4" w:rsidRDefault="0018591F" w:rsidP="0018591F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aktivity realizované prostredníctvom ZPOZu</w:t>
            </w:r>
          </w:p>
        </w:tc>
      </w:tr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18591F" w:rsidRPr="001736B4" w:rsidRDefault="0018591F" w:rsidP="0018591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spoločenských podujatí</w:t>
            </w:r>
          </w:p>
        </w:tc>
      </w:tr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18591F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1859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18591F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18591F" w:rsidRPr="001736B4" w:rsidRDefault="0018591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03737A" w:rsidRPr="001736B4" w:rsidRDefault="00F023C6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Rozpočtované finančné prostriedky sú určené na činnosť </w:t>
      </w:r>
      <w:r w:rsidR="0018591F" w:rsidRPr="001736B4">
        <w:rPr>
          <w:sz w:val="21"/>
          <w:szCs w:val="21"/>
        </w:rPr>
        <w:t xml:space="preserve"> </w:t>
      </w:r>
      <w:r w:rsidRPr="001736B4">
        <w:rPr>
          <w:sz w:val="21"/>
          <w:szCs w:val="21"/>
        </w:rPr>
        <w:t>ZPOZu</w:t>
      </w: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FC359D" w:rsidRPr="001736B4" w:rsidTr="00A474FB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4. VEREJNÉ ROZVODY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16 800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944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5218DC" w:rsidRPr="001736B4" w:rsidRDefault="00A525EF" w:rsidP="005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FC359D" w:rsidRPr="001736B4" w:rsidRDefault="005218DC" w:rsidP="005218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17 010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FC359D" w:rsidRPr="001736B4" w:rsidRDefault="00FC359D" w:rsidP="005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FC359D" w:rsidRPr="001736B4" w:rsidRDefault="005218DC" w:rsidP="005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210</w:t>
            </w:r>
          </w:p>
        </w:tc>
      </w:tr>
    </w:tbl>
    <w:p w:rsidR="001D58CF" w:rsidRPr="001736B4" w:rsidRDefault="001D58CF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F023C6" w:rsidRPr="001736B4" w:rsidRDefault="00F023C6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 xml:space="preserve">Zámer:   </w:t>
      </w:r>
      <w:r w:rsidRPr="001736B4">
        <w:rPr>
          <w:sz w:val="21"/>
          <w:szCs w:val="21"/>
        </w:rPr>
        <w:t>Prevádzkovať verejné rozvody spĺňajúce</w:t>
      </w:r>
      <w:r w:rsidR="00461051" w:rsidRPr="001736B4">
        <w:rPr>
          <w:sz w:val="21"/>
          <w:szCs w:val="21"/>
        </w:rPr>
        <w:t xml:space="preserve"> príslušné normy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16 800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17 010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5218D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210</w:t>
            </w:r>
          </w:p>
        </w:tc>
      </w:tr>
    </w:tbl>
    <w:p w:rsidR="007338FF" w:rsidRPr="001736B4" w:rsidRDefault="007338FF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03737A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4.1 Verejné osvetlenie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15 800</w:t>
            </w: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3475F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03737A" w:rsidRPr="001736B4" w:rsidRDefault="003475F2" w:rsidP="003475F2">
            <w:pPr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15 800</w:t>
            </w:r>
          </w:p>
        </w:tc>
        <w:tc>
          <w:tcPr>
            <w:tcW w:w="639" w:type="pct"/>
            <w:shd w:val="clear" w:color="auto" w:fill="FFFFFF" w:themeFill="background1"/>
          </w:tcPr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03737A" w:rsidRPr="001736B4" w:rsidRDefault="0003737A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03737A" w:rsidRPr="001736B4" w:rsidRDefault="003475F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1D58CF" w:rsidRPr="001736B4" w:rsidRDefault="001D58CF" w:rsidP="002F07D6">
      <w:pPr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432543" w:rsidRPr="001736B4" w:rsidRDefault="00432543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03737A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15 800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15 800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F766D7" w:rsidRPr="001736B4" w:rsidRDefault="00F766D7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F766D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F766D7" w:rsidRPr="001736B4" w:rsidRDefault="00F766D7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F766D7" w:rsidRPr="001736B4" w:rsidRDefault="00F766D7" w:rsidP="00F766D7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kvalitne a efektívne prevádzkované verejné osvetlenie</w:t>
            </w:r>
          </w:p>
        </w:tc>
      </w:tr>
      <w:tr w:rsidR="00F766D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F766D7" w:rsidRPr="001736B4" w:rsidRDefault="007A0724" w:rsidP="00294D6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Spotreba elektrickej energie verejného osvetlenia</w:t>
            </w:r>
            <w:r w:rsidR="00294D6F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 (v  EUR)</w:t>
            </w:r>
          </w:p>
        </w:tc>
      </w:tr>
      <w:tr w:rsidR="00F766D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F766D7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7A0724" w:rsidP="007A072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11 000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F766D7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7A072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11 209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F766D7" w:rsidRPr="001736B4" w:rsidRDefault="00F766D7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F766D7" w:rsidRPr="001736B4" w:rsidRDefault="0027441C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Finančné prostriedky predstavujú výdavky na spotrebu elektrickej energie</w:t>
      </w:r>
      <w:r w:rsidR="008959FA" w:rsidRPr="001736B4">
        <w:rPr>
          <w:sz w:val="21"/>
          <w:szCs w:val="21"/>
        </w:rPr>
        <w:t>,</w:t>
      </w:r>
      <w:r w:rsidRPr="001736B4">
        <w:rPr>
          <w:sz w:val="21"/>
          <w:szCs w:val="21"/>
        </w:rPr>
        <w:t> údržbu</w:t>
      </w:r>
      <w:r w:rsidR="008959FA" w:rsidRPr="001736B4">
        <w:rPr>
          <w:sz w:val="21"/>
          <w:szCs w:val="21"/>
        </w:rPr>
        <w:t xml:space="preserve"> a rekonštrukciu</w:t>
      </w:r>
      <w:r w:rsidRPr="001736B4">
        <w:rPr>
          <w:sz w:val="21"/>
          <w:szCs w:val="21"/>
        </w:rPr>
        <w:t xml:space="preserve"> verejného osvetlenia.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4.2 Verejný rozhlas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1 000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3475F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3475F2" w:rsidP="003475F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1 210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3475F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210</w:t>
            </w:r>
          </w:p>
        </w:tc>
      </w:tr>
    </w:tbl>
    <w:p w:rsidR="001D58CF" w:rsidRPr="001736B4" w:rsidRDefault="001D58CF" w:rsidP="002F07D6">
      <w:pPr>
        <w:spacing w:after="0" w:line="240" w:lineRule="auto"/>
        <w:rPr>
          <w:sz w:val="21"/>
          <w:szCs w:val="21"/>
        </w:rPr>
      </w:pPr>
    </w:p>
    <w:p w:rsidR="00432543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</w:t>
      </w:r>
    </w:p>
    <w:p w:rsidR="00432543" w:rsidRPr="001736B4" w:rsidRDefault="00432543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1 000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1 210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210</w:t>
            </w:r>
          </w:p>
        </w:tc>
      </w:tr>
    </w:tbl>
    <w:p w:rsidR="00762954" w:rsidRPr="001736B4" w:rsidRDefault="002F07D6" w:rsidP="001D58C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   </w:t>
      </w: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47732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477329" w:rsidRPr="001736B4" w:rsidRDefault="00477329" w:rsidP="0065167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477329" w:rsidRPr="001736B4" w:rsidRDefault="00477329" w:rsidP="00477329">
            <w:pPr>
              <w:pStyle w:val="Cie"/>
              <w:rPr>
                <w:rFonts w:ascii="Times New Roman" w:hAnsi="Times New Roman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sz w:val="15"/>
                <w:szCs w:val="15"/>
              </w:rPr>
              <w:t>Zabezpečiť celoročnú informačnú službu pre všetkých občanov</w:t>
            </w:r>
          </w:p>
        </w:tc>
      </w:tr>
      <w:tr w:rsidR="0047732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477329" w:rsidRPr="001736B4" w:rsidRDefault="00477329" w:rsidP="00294D6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funkčných </w:t>
            </w:r>
            <w:r w:rsidR="00294D6F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rozhlasových staníc</w:t>
            </w:r>
          </w:p>
        </w:tc>
      </w:tr>
      <w:tr w:rsidR="0047732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47732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294D6F" w:rsidP="00294D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77329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294D6F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77329" w:rsidRPr="001736B4" w:rsidRDefault="0047732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762954" w:rsidRPr="001736B4" w:rsidRDefault="00477329" w:rsidP="00762954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Miestnym rozhlasom informuje obec </w:t>
      </w:r>
      <w:r w:rsidR="00642EE6" w:rsidRPr="001736B4">
        <w:rPr>
          <w:sz w:val="21"/>
          <w:szCs w:val="21"/>
        </w:rPr>
        <w:t xml:space="preserve"> občanov o dianí v obci a podľa požiadaviek zverejňuje aj oznamy samotných občanov. Rozpočtované výdavku sú určené na údržbu a prevádzku verejného rozhlasu.</w:t>
      </w: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FC359D" w:rsidRPr="001736B4" w:rsidTr="00A474FB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5.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 xml:space="preserve"> ODPADOVÉ HOSPODÁRSTVO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39 590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944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3475F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FC359D" w:rsidRPr="001736B4" w:rsidRDefault="003475F2" w:rsidP="003475F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39 590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FC359D" w:rsidRPr="001736B4" w:rsidRDefault="003475F2" w:rsidP="00347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0</w:t>
            </w:r>
          </w:p>
        </w:tc>
      </w:tr>
    </w:tbl>
    <w:p w:rsidR="000437A4" w:rsidRPr="001736B4" w:rsidRDefault="000437A4" w:rsidP="00711188">
      <w:pPr>
        <w:tabs>
          <w:tab w:val="left" w:pos="2977"/>
        </w:tabs>
        <w:spacing w:line="240" w:lineRule="auto"/>
        <w:rPr>
          <w:b/>
          <w:sz w:val="21"/>
          <w:szCs w:val="21"/>
        </w:rPr>
      </w:pPr>
    </w:p>
    <w:p w:rsidR="003147E9" w:rsidRPr="001736B4" w:rsidRDefault="000437A4" w:rsidP="005D4068">
      <w:pPr>
        <w:tabs>
          <w:tab w:val="left" w:pos="2977"/>
        </w:tabs>
        <w:spacing w:after="0" w:line="240" w:lineRule="atLeast"/>
        <w:rPr>
          <w:sz w:val="21"/>
          <w:szCs w:val="21"/>
        </w:rPr>
      </w:pPr>
      <w:r w:rsidRPr="001736B4">
        <w:rPr>
          <w:b/>
          <w:sz w:val="21"/>
          <w:szCs w:val="21"/>
        </w:rPr>
        <w:t xml:space="preserve">Zámer:  </w:t>
      </w:r>
      <w:r w:rsidRPr="001736B4">
        <w:rPr>
          <w:sz w:val="21"/>
          <w:szCs w:val="21"/>
        </w:rPr>
        <w:t xml:space="preserve">Prevádzkovať efektívny systém odpadového hospodárstva spĺňajúci zákonné požiadavky </w:t>
      </w:r>
    </w:p>
    <w:p w:rsidR="00A768CC" w:rsidRPr="001736B4" w:rsidRDefault="000437A4" w:rsidP="00A768CC">
      <w:pPr>
        <w:tabs>
          <w:tab w:val="left" w:pos="2977"/>
        </w:tabs>
        <w:spacing w:after="0" w:line="240" w:lineRule="atLeast"/>
        <w:rPr>
          <w:sz w:val="21"/>
          <w:szCs w:val="21"/>
        </w:rPr>
      </w:pPr>
      <w:r w:rsidRPr="001736B4">
        <w:rPr>
          <w:sz w:val="21"/>
          <w:szCs w:val="21"/>
        </w:rPr>
        <w:t xml:space="preserve">               s dôrazom na ochranu životného prostredia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432543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432543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39 590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39 590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432543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432543" w:rsidRPr="001736B4" w:rsidRDefault="00432543" w:rsidP="005D4068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7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5.1. Zber a zneškodňovanie komunál odpadu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27 095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3475F2" w:rsidRPr="001736B4" w:rsidRDefault="003475F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27 095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3475F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1D58CF" w:rsidRPr="001736B4" w:rsidRDefault="001D58CF" w:rsidP="002F07D6">
      <w:pPr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360B3E" w:rsidRPr="001736B4" w:rsidRDefault="00360B3E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27 095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27 095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F91B5E" w:rsidRPr="001736B4" w:rsidRDefault="00F91B5E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0437A4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0437A4" w:rsidRPr="001736B4" w:rsidRDefault="000437A4" w:rsidP="00651679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0437A4" w:rsidRPr="001736B4" w:rsidRDefault="000437A4" w:rsidP="00433972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 xml:space="preserve">Zabezpečiť </w:t>
            </w:r>
            <w:r w:rsidR="00433972" w:rsidRPr="001736B4">
              <w:rPr>
                <w:rFonts w:ascii="Times New Roman" w:hAnsi="Times New Roman"/>
                <w:b w:val="0"/>
                <w:sz w:val="15"/>
                <w:szCs w:val="15"/>
              </w:rPr>
              <w:t>pravidelný odvoz a likvidáciu komunálneho odpadu</w:t>
            </w:r>
          </w:p>
        </w:tc>
      </w:tr>
      <w:tr w:rsidR="000437A4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0437A4" w:rsidRPr="001736B4" w:rsidRDefault="00433972" w:rsidP="006516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Množstvo vyvezeného komunálneho odpadu za rok  v</w:t>
            </w:r>
            <w:r w:rsidR="00A06B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 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tonách</w:t>
            </w:r>
            <w:r w:rsidR="00A06B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/počet vývozov za rok</w:t>
            </w:r>
          </w:p>
        </w:tc>
      </w:tr>
      <w:tr w:rsidR="000437A4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0437A4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4339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4339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433972" w:rsidP="005D40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500</w:t>
            </w:r>
            <w:r w:rsidR="005D40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="00A06B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</w:t>
            </w:r>
            <w:r w:rsidR="005D40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5</w:t>
            </w:r>
            <w:r w:rsidR="00A06B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4339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4339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0437A4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433972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487</w:t>
            </w:r>
            <w:r w:rsidR="005D40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/ </w:t>
            </w:r>
            <w:r w:rsidR="00A06B68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0437A4" w:rsidRPr="001736B4" w:rsidRDefault="000437A4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F91B5E" w:rsidRPr="001736B4" w:rsidRDefault="00F91B5E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5.2 Odvoz VOK a zneškodňovanie odpadu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7 695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3475F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3475F2" w:rsidP="003475F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7 695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3475F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32625B" w:rsidRPr="001736B4" w:rsidRDefault="0032625B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D58CF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</w:t>
      </w: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7 695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7 695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F91B5E" w:rsidRPr="001736B4" w:rsidRDefault="00F91B5E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5D4068" w:rsidRPr="001736B4" w:rsidRDefault="005D4068" w:rsidP="00EA3707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5D4068" w:rsidRPr="001736B4" w:rsidRDefault="005D4068" w:rsidP="00EA3707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sezónne čistenie obce a likvidáciu divokých skládok</w:t>
            </w:r>
          </w:p>
        </w:tc>
      </w:tr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Množstvo vyvezeného odpadu z VOK za rok  v tonách</w:t>
            </w:r>
          </w:p>
        </w:tc>
      </w:tr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294D6F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80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5D4068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78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5D4068" w:rsidRPr="001736B4" w:rsidRDefault="005D4068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5.3 Separovaný zber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4 800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3475F2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3475F2" w:rsidP="003475F2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4 800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3475F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1D58CF" w:rsidRPr="001736B4" w:rsidRDefault="001D58CF" w:rsidP="002F07D6">
      <w:pPr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360B3E" w:rsidRPr="001736B4" w:rsidRDefault="00360B3E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4 800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4 800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475F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F91B5E" w:rsidRPr="001736B4" w:rsidRDefault="00F91B5E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65167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651679" w:rsidRPr="001736B4" w:rsidRDefault="00651679" w:rsidP="00651679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651679" w:rsidRPr="001736B4" w:rsidRDefault="00651679" w:rsidP="00651679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zvoz separovaného odpadu a zvýšenie množstva vyseparovaného odpadu</w:t>
            </w:r>
          </w:p>
        </w:tc>
      </w:tr>
      <w:tr w:rsidR="0065167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651679" w:rsidRPr="001736B4" w:rsidRDefault="00651679" w:rsidP="00922A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Množstvo vyseparovaného odpadu  v tonách/počet </w:t>
            </w:r>
            <w:r w:rsidR="00922ACB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triedeného odpadu</w:t>
            </w:r>
          </w:p>
        </w:tc>
      </w:tr>
      <w:tr w:rsidR="0065167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651679" w:rsidRPr="001736B4" w:rsidTr="00651679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806C3" w:rsidP="006806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55</w:t>
            </w:r>
            <w:r w:rsidR="001D3B1E"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 </w:t>
            </w:r>
            <w:r w:rsidR="00922ACB"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/</w:t>
            </w:r>
            <w:r w:rsidR="001D3B1E"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 </w:t>
            </w:r>
            <w:r w:rsidR="00922ACB"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651679" w:rsidRPr="001736B4" w:rsidTr="00651679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922ACB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53</w:t>
            </w:r>
            <w:r w:rsidR="001D3B1E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</w:t>
            </w:r>
            <w:r w:rsidR="001D3B1E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651679" w:rsidRPr="001736B4" w:rsidRDefault="00651679" w:rsidP="006516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A06B68" w:rsidRPr="001736B4" w:rsidRDefault="006806C3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Program zahŕňa výdavky na zvoz a zneškodnenie komunálneho odpadu, dopravné náklady na vývoz veľkokapacitných kontajnerov</w:t>
      </w:r>
      <w:r w:rsidR="00A06B68" w:rsidRPr="001736B4">
        <w:rPr>
          <w:sz w:val="21"/>
          <w:szCs w:val="21"/>
        </w:rPr>
        <w:t xml:space="preserve"> a</w:t>
      </w:r>
      <w:r w:rsidRPr="001736B4">
        <w:rPr>
          <w:sz w:val="21"/>
          <w:szCs w:val="21"/>
        </w:rPr>
        <w:t xml:space="preserve"> nákl</w:t>
      </w:r>
      <w:r w:rsidR="00A06B68" w:rsidRPr="001736B4">
        <w:rPr>
          <w:sz w:val="21"/>
          <w:szCs w:val="21"/>
        </w:rPr>
        <w:t>ady na zvoz separovaného odpadu, ktoré sa zabezpečujú zmluvným  dodávateľom.</w:t>
      </w:r>
    </w:p>
    <w:p w:rsidR="001D58CF" w:rsidRPr="001736B4" w:rsidRDefault="001D58CF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FC359D" w:rsidRPr="001736B4" w:rsidTr="00A474FB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FC359D" w:rsidRPr="001736B4" w:rsidRDefault="00FC359D" w:rsidP="00FC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6. KOMUNIKÁCIE A VER.PRIESTR.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FC359D" w:rsidRPr="001736B4" w:rsidRDefault="00882A06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18 065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944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882A06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FC359D" w:rsidRPr="001736B4" w:rsidRDefault="00882A06" w:rsidP="00882A06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18 065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FC359D" w:rsidRPr="001736B4" w:rsidRDefault="00FC359D" w:rsidP="0088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FC359D" w:rsidRPr="001736B4" w:rsidRDefault="00882A06" w:rsidP="0088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1D58CF" w:rsidRPr="001736B4" w:rsidRDefault="001D58CF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E0383A" w:rsidRPr="001736B4" w:rsidRDefault="00E0383A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 xml:space="preserve">Zámer: </w:t>
      </w:r>
      <w:r w:rsidRPr="001736B4">
        <w:rPr>
          <w:sz w:val="21"/>
          <w:szCs w:val="21"/>
        </w:rPr>
        <w:t xml:space="preserve">  Bezpečné a upravené komunikácie a priestranstvá obce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882A06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18 065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882A06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18 065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882A06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360B3E" w:rsidRPr="001736B4" w:rsidRDefault="00360B3E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6.</w:t>
            </w:r>
            <w:r w:rsidR="00882A06"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1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 xml:space="preserve"> Údržba komunikácií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7 300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1535C5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1535C5" w:rsidP="001535C5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7 300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1535C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E0383A" w:rsidRPr="001736B4" w:rsidRDefault="00E0383A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360B3E" w:rsidRPr="001736B4" w:rsidRDefault="00360B3E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7 300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1535C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7 300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1535C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E0383A" w:rsidRPr="001736B4" w:rsidRDefault="00E0383A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480314" w:rsidRPr="001736B4" w:rsidRDefault="00480314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480314" w:rsidRPr="001736B4" w:rsidRDefault="00480314" w:rsidP="00480314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údržbu pozemných komunikácií, hlavne v zimnom období</w:t>
            </w:r>
          </w:p>
        </w:tc>
      </w:tr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480314" w:rsidRPr="001736B4" w:rsidRDefault="00480314" w:rsidP="004803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Množstvo </w:t>
            </w:r>
            <w:r w:rsidR="00350387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použitého posypového materiálu</w:t>
            </w:r>
          </w:p>
        </w:tc>
      </w:tr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5B05EA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1200 kg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80314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7A6A21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700 kg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A768CC" w:rsidRPr="001736B4" w:rsidRDefault="00A768CC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6.2 Verejné priestranstvá a zeleň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10 765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1535C5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1535C5" w:rsidP="001535C5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10 765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1535C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1D58CF" w:rsidRPr="001736B4" w:rsidRDefault="001D58CF" w:rsidP="00360B3E">
      <w:pPr>
        <w:spacing w:after="0" w:line="240" w:lineRule="auto"/>
        <w:rPr>
          <w:sz w:val="21"/>
          <w:szCs w:val="21"/>
        </w:rPr>
      </w:pPr>
    </w:p>
    <w:p w:rsidR="00B800AC" w:rsidRPr="001736B4" w:rsidRDefault="002F07D6" w:rsidP="00360B3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</w:t>
      </w:r>
    </w:p>
    <w:p w:rsidR="002F07D6" w:rsidRPr="001736B4" w:rsidRDefault="002F07D6" w:rsidP="00360B3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360B3E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360B3E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10 765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1535C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10 765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360B3E" w:rsidRPr="001736B4" w:rsidRDefault="001535C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E0383A" w:rsidRPr="001736B4" w:rsidRDefault="00E0383A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480314" w:rsidRPr="001736B4" w:rsidRDefault="00480314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480314" w:rsidRPr="001736B4" w:rsidRDefault="00480314" w:rsidP="00350387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 xml:space="preserve">Zabezpečiť </w:t>
            </w:r>
            <w:r w:rsidR="00350387" w:rsidRPr="001736B4">
              <w:rPr>
                <w:rFonts w:ascii="Times New Roman" w:hAnsi="Times New Roman"/>
                <w:b w:val="0"/>
                <w:sz w:val="15"/>
                <w:szCs w:val="15"/>
              </w:rPr>
              <w:t>pravidelnú údržbu verejných priestranstiev a novú výsadbu zelene</w:t>
            </w:r>
          </w:p>
        </w:tc>
      </w:tr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480314" w:rsidRPr="001736B4" w:rsidRDefault="00350387" w:rsidP="009452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kosení verejných priestranstiev za rok</w:t>
            </w:r>
          </w:p>
        </w:tc>
      </w:tr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480314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350387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80314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350387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80314" w:rsidRPr="001736B4" w:rsidRDefault="0048031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350387" w:rsidRPr="001736B4" w:rsidRDefault="00350387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Vo výdavkoch programu sú naplánované náklady na údržbu komunikácií a verejných priestranstiev</w:t>
      </w:r>
      <w:r w:rsidR="00E36CBB" w:rsidRPr="001736B4">
        <w:rPr>
          <w:sz w:val="21"/>
          <w:szCs w:val="21"/>
        </w:rPr>
        <w:t xml:space="preserve"> ako nákup zariadení a posypového materiálu na zimnú údržbu a opráv komunikácií.</w:t>
      </w:r>
    </w:p>
    <w:p w:rsidR="00FC359D" w:rsidRPr="001736B4" w:rsidRDefault="00FC359D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FC359D" w:rsidRPr="001736B4" w:rsidTr="00A474FB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7. VZDELÁVANIE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577 753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944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1535C5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FC359D" w:rsidRPr="001736B4" w:rsidRDefault="0084589C" w:rsidP="001535C5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579 448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FC359D" w:rsidRPr="001736B4" w:rsidRDefault="00FC359D" w:rsidP="0084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FC359D" w:rsidRPr="001736B4" w:rsidRDefault="0084589C" w:rsidP="0084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1 695</w:t>
            </w:r>
          </w:p>
        </w:tc>
      </w:tr>
    </w:tbl>
    <w:p w:rsidR="00A6724B" w:rsidRPr="00E32271" w:rsidRDefault="00A6724B" w:rsidP="00A6724B">
      <w:pPr>
        <w:tabs>
          <w:tab w:val="left" w:pos="2977"/>
        </w:tabs>
        <w:spacing w:line="240" w:lineRule="auto"/>
        <w:rPr>
          <w:i/>
          <w:sz w:val="21"/>
          <w:szCs w:val="21"/>
        </w:rPr>
      </w:pPr>
      <w:r w:rsidRPr="00E32271">
        <w:rPr>
          <w:b/>
          <w:i/>
          <w:sz w:val="21"/>
          <w:szCs w:val="21"/>
        </w:rPr>
        <w:t xml:space="preserve">Zámer:  </w:t>
      </w:r>
      <w:r w:rsidRPr="00E32271">
        <w:rPr>
          <w:i/>
          <w:sz w:val="21"/>
          <w:szCs w:val="21"/>
        </w:rPr>
        <w:t>Školstvo rešpektujúce potreby detí a</w:t>
      </w:r>
      <w:r w:rsidR="00B800AC" w:rsidRPr="00E32271">
        <w:rPr>
          <w:i/>
          <w:sz w:val="21"/>
          <w:szCs w:val="21"/>
        </w:rPr>
        <w:t> </w:t>
      </w:r>
      <w:r w:rsidRPr="00E32271">
        <w:rPr>
          <w:i/>
          <w:sz w:val="21"/>
          <w:szCs w:val="21"/>
        </w:rPr>
        <w:t>rodičov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577 753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579 448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1 695</w:t>
            </w:r>
          </w:p>
        </w:tc>
      </w:tr>
    </w:tbl>
    <w:p w:rsidR="00B800AC" w:rsidRPr="001736B4" w:rsidRDefault="00B800AC" w:rsidP="00A6724B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7.1 Základná škola s materskou školou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522 726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1535C5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1535C5" w:rsidP="001535C5">
            <w:pPr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524 421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1535C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1 695</w:t>
            </w:r>
          </w:p>
        </w:tc>
      </w:tr>
    </w:tbl>
    <w:p w:rsidR="00A6724B" w:rsidRPr="001736B4" w:rsidRDefault="00A6724B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B800AC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Riaditeľ ZŠ   </w:t>
      </w: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768C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522 726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524 421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1 695</w:t>
            </w:r>
          </w:p>
        </w:tc>
      </w:tr>
    </w:tbl>
    <w:p w:rsidR="00A6724B" w:rsidRPr="001736B4" w:rsidRDefault="00A6724B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C22498" w:rsidRPr="001736B4" w:rsidRDefault="00C22498" w:rsidP="001D58CF">
            <w:pPr>
              <w:pStyle w:val="Cie"/>
              <w:spacing w:after="0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C22498" w:rsidRPr="001736B4" w:rsidRDefault="00C22498" w:rsidP="00C22498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efektívnosť prevádzky predškolskej a školskej výchovy v obci</w:t>
            </w:r>
          </w:p>
        </w:tc>
      </w:tr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C22498" w:rsidRPr="001736B4" w:rsidRDefault="00C22498" w:rsidP="00083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083BC4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detí v ZŠ / počet detí v MŠ/ počet detí ŠKD</w:t>
            </w:r>
          </w:p>
        </w:tc>
      </w:tr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083BC4" w:rsidP="00343D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220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/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65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40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C22498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083BC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229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69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</w:t>
            </w:r>
            <w:r w:rsidR="00343D36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</w:t>
            </w: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43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C22498" w:rsidRPr="001736B4" w:rsidRDefault="00C22498" w:rsidP="0071118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A768CC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7.2 Súkromná základná umel</w:t>
            </w:r>
            <w:r w:rsidR="00B81132"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e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cká škola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A768CC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55 027</w:t>
            </w: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1535C5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A768CC" w:rsidRPr="001736B4" w:rsidRDefault="001535C5" w:rsidP="001535C5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55 027</w:t>
            </w:r>
          </w:p>
        </w:tc>
        <w:tc>
          <w:tcPr>
            <w:tcW w:w="639" w:type="pct"/>
            <w:shd w:val="clear" w:color="auto" w:fill="FFFFFF" w:themeFill="background1"/>
          </w:tcPr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A768CC" w:rsidRPr="001736B4" w:rsidRDefault="00A768C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A768CC" w:rsidRPr="001736B4" w:rsidRDefault="001535C5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1D58CF" w:rsidRPr="001736B4" w:rsidRDefault="001D58CF" w:rsidP="002F07D6">
      <w:pPr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Riaditeľ SZUŠ      </w:t>
      </w:r>
    </w:p>
    <w:p w:rsidR="00B800AC" w:rsidRPr="001736B4" w:rsidRDefault="00B800AC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113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55 027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1535C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55 027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1535C5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A6724B" w:rsidRPr="001736B4" w:rsidRDefault="00A6724B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C22498" w:rsidRPr="001736B4" w:rsidRDefault="00C22498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C22498" w:rsidRPr="001736B4" w:rsidRDefault="00C22498" w:rsidP="00343D36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 xml:space="preserve">Zabezpečiť </w:t>
            </w:r>
            <w:r w:rsidR="00343D36" w:rsidRPr="001736B4">
              <w:rPr>
                <w:rFonts w:ascii="Times New Roman" w:hAnsi="Times New Roman"/>
                <w:b w:val="0"/>
                <w:sz w:val="15"/>
                <w:szCs w:val="15"/>
              </w:rPr>
              <w:t>rozvoj umeleckých daností detí v obci</w:t>
            </w:r>
          </w:p>
        </w:tc>
      </w:tr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C22498" w:rsidRPr="001736B4" w:rsidRDefault="00C22498" w:rsidP="00083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083BC4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detí v SZUŠ</w:t>
            </w:r>
          </w:p>
        </w:tc>
      </w:tr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C22498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083BC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100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C22498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083BC4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106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C22498" w:rsidRPr="001736B4" w:rsidRDefault="00C22498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343D36" w:rsidRPr="001736B4" w:rsidRDefault="00343D36" w:rsidP="00357B9B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V programe sú rozpočtované náklady na zabezpečenie prevádzky základnej školy s materskou školou</w:t>
      </w:r>
      <w:r w:rsidR="00357B9B" w:rsidRPr="001736B4">
        <w:rPr>
          <w:sz w:val="21"/>
          <w:szCs w:val="21"/>
        </w:rPr>
        <w:t>,</w:t>
      </w:r>
      <w:r w:rsidR="008A6252" w:rsidRPr="001736B4">
        <w:rPr>
          <w:sz w:val="21"/>
          <w:szCs w:val="21"/>
        </w:rPr>
        <w:t xml:space="preserve"> vrátane školského klubu detí, školskej jedálne</w:t>
      </w:r>
      <w:r w:rsidR="00357B9B" w:rsidRPr="001736B4">
        <w:rPr>
          <w:sz w:val="21"/>
          <w:szCs w:val="21"/>
        </w:rPr>
        <w:t xml:space="preserve"> </w:t>
      </w:r>
      <w:r w:rsidRPr="001736B4">
        <w:rPr>
          <w:sz w:val="21"/>
          <w:szCs w:val="21"/>
        </w:rPr>
        <w:t xml:space="preserve"> zahrňujúce výdavky na mzdy</w:t>
      </w:r>
      <w:r w:rsidR="005B05EA" w:rsidRPr="001736B4">
        <w:rPr>
          <w:sz w:val="21"/>
          <w:szCs w:val="21"/>
        </w:rPr>
        <w:t xml:space="preserve">, platy </w:t>
      </w:r>
      <w:r w:rsidRPr="001736B4">
        <w:rPr>
          <w:sz w:val="21"/>
          <w:szCs w:val="21"/>
        </w:rPr>
        <w:t xml:space="preserve"> a</w:t>
      </w:r>
      <w:r w:rsidR="00357B9B" w:rsidRPr="001736B4">
        <w:rPr>
          <w:sz w:val="21"/>
          <w:szCs w:val="21"/>
        </w:rPr>
        <w:t> </w:t>
      </w:r>
      <w:r w:rsidRPr="001736B4">
        <w:rPr>
          <w:sz w:val="21"/>
          <w:szCs w:val="21"/>
        </w:rPr>
        <w:t>ostatné</w:t>
      </w:r>
      <w:r w:rsidR="00357B9B" w:rsidRPr="001736B4">
        <w:rPr>
          <w:sz w:val="21"/>
          <w:szCs w:val="21"/>
        </w:rPr>
        <w:t xml:space="preserve"> osobné vyrovnania, poistné a príspevky do poisťovní  pedagogických a nepedagogických zamestnancov, výdavky na tovary a služby vrátane energií</w:t>
      </w:r>
      <w:r w:rsidR="005B05EA" w:rsidRPr="001736B4">
        <w:rPr>
          <w:sz w:val="21"/>
          <w:szCs w:val="21"/>
        </w:rPr>
        <w:t>, a súkromnej základnej umeleckej školy.</w:t>
      </w:r>
    </w:p>
    <w:p w:rsidR="001D58CF" w:rsidRPr="001736B4" w:rsidRDefault="001D58CF" w:rsidP="00357B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D58CF" w:rsidRPr="001736B4" w:rsidRDefault="001D58CF" w:rsidP="00357B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FC359D" w:rsidRPr="001736B4" w:rsidTr="00A474FB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FC359D" w:rsidRPr="001736B4" w:rsidRDefault="00FC359D" w:rsidP="00FC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8. SOCIÁLNE SLUŽBY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24 900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944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792C5D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FC359D" w:rsidRPr="001736B4" w:rsidRDefault="00792C5D" w:rsidP="00792C5D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17 600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FC359D" w:rsidRPr="001736B4" w:rsidRDefault="00FC359D" w:rsidP="0079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FC359D" w:rsidRPr="001736B4" w:rsidRDefault="00792C5D" w:rsidP="0079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-</w:t>
            </w: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7 300</w:t>
            </w:r>
          </w:p>
        </w:tc>
      </w:tr>
    </w:tbl>
    <w:p w:rsidR="00642606" w:rsidRPr="001736B4" w:rsidRDefault="00642606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642606" w:rsidRPr="001736B4" w:rsidRDefault="00642606" w:rsidP="00642606">
      <w:pPr>
        <w:tabs>
          <w:tab w:val="left" w:pos="2977"/>
        </w:tabs>
        <w:spacing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>Zámer</w:t>
      </w:r>
      <w:r w:rsidRPr="001736B4">
        <w:rPr>
          <w:sz w:val="21"/>
          <w:szCs w:val="21"/>
        </w:rPr>
        <w:t xml:space="preserve">:  </w:t>
      </w:r>
      <w:r w:rsidR="008A6252" w:rsidRPr="001736B4">
        <w:rPr>
          <w:sz w:val="21"/>
          <w:szCs w:val="21"/>
        </w:rPr>
        <w:t>Kvalitné sociálne služby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113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24 900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792C5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17 600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593E6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-7 300</w:t>
            </w:r>
          </w:p>
        </w:tc>
      </w:tr>
    </w:tbl>
    <w:p w:rsidR="00B800AC" w:rsidRPr="001736B4" w:rsidRDefault="00B800AC" w:rsidP="00642606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B81132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8.1 Opatrovateľská služba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21 400</w:t>
            </w: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84589C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B81132" w:rsidRPr="001736B4" w:rsidRDefault="0084589C" w:rsidP="0084589C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14 100</w:t>
            </w:r>
          </w:p>
        </w:tc>
        <w:tc>
          <w:tcPr>
            <w:tcW w:w="639" w:type="pct"/>
            <w:shd w:val="clear" w:color="auto" w:fill="FFFFFF" w:themeFill="background1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B81132" w:rsidRPr="001736B4" w:rsidRDefault="0084589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-7 300</w:t>
            </w:r>
          </w:p>
        </w:tc>
      </w:tr>
    </w:tbl>
    <w:p w:rsidR="00343D36" w:rsidRPr="001736B4" w:rsidRDefault="00343D36" w:rsidP="00357B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B800AC" w:rsidRPr="001736B4" w:rsidRDefault="00B800AC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113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21 400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14 100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-7 300</w:t>
            </w:r>
          </w:p>
        </w:tc>
      </w:tr>
    </w:tbl>
    <w:p w:rsidR="0041220C" w:rsidRPr="001736B4" w:rsidRDefault="0041220C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41220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41220C" w:rsidRPr="001736B4" w:rsidRDefault="0041220C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41220C" w:rsidRPr="001736B4" w:rsidRDefault="0041220C" w:rsidP="0041220C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starostlivosť pre odkázaných o</w:t>
            </w:r>
            <w:r w:rsidR="00D76C3C" w:rsidRPr="001736B4">
              <w:rPr>
                <w:rFonts w:ascii="Times New Roman" w:hAnsi="Times New Roman"/>
                <w:b w:val="0"/>
                <w:sz w:val="15"/>
                <w:szCs w:val="15"/>
              </w:rPr>
              <w:t>byvateľov obce v ich domácnosti</w:t>
            </w:r>
          </w:p>
        </w:tc>
      </w:tr>
      <w:tr w:rsidR="0041220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41220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prijímateľov opatrovateľskej služby</w:t>
            </w:r>
            <w:r w:rsidR="005B05EA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/počet zamestnancov</w:t>
            </w:r>
          </w:p>
        </w:tc>
      </w:tr>
      <w:tr w:rsidR="0041220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41220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7</w:t>
            </w:r>
            <w:r w:rsidR="005B05EA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/ 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41220C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7</w:t>
            </w:r>
            <w:r w:rsidR="005B05EA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 / 2,5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41220C" w:rsidRPr="001736B4" w:rsidRDefault="0041220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D76C3C" w:rsidRPr="001736B4" w:rsidRDefault="00D76C3C" w:rsidP="00357B9B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Opatrovateľská služba je určená pre starých občanov, ako aj pre občanov, ktorí sú zo zdravotných dôvodov odkázaní na pomoc.</w:t>
      </w:r>
    </w:p>
    <w:p w:rsidR="00D76C3C" w:rsidRPr="001736B4" w:rsidRDefault="00D76C3C" w:rsidP="00D76C3C">
      <w:pPr>
        <w:spacing w:after="0" w:line="240" w:lineRule="auto"/>
        <w:jc w:val="both"/>
        <w:rPr>
          <w:sz w:val="21"/>
          <w:szCs w:val="21"/>
        </w:rPr>
      </w:pPr>
      <w:r w:rsidRPr="001736B4">
        <w:rPr>
          <w:sz w:val="21"/>
          <w:szCs w:val="21"/>
        </w:rPr>
        <w:t>Finančné prostriedky  predstavujú bežné výdavky  na mzdy</w:t>
      </w:r>
      <w:r w:rsidR="005B05EA" w:rsidRPr="001736B4">
        <w:rPr>
          <w:sz w:val="21"/>
          <w:szCs w:val="21"/>
        </w:rPr>
        <w:t>,</w:t>
      </w:r>
      <w:r w:rsidR="00792C5D" w:rsidRPr="001736B4">
        <w:rPr>
          <w:sz w:val="21"/>
          <w:szCs w:val="21"/>
        </w:rPr>
        <w:t xml:space="preserve"> </w:t>
      </w:r>
      <w:r w:rsidR="005B05EA" w:rsidRPr="001736B4">
        <w:rPr>
          <w:sz w:val="21"/>
          <w:szCs w:val="21"/>
        </w:rPr>
        <w:t>platy</w:t>
      </w:r>
      <w:r w:rsidRPr="001736B4">
        <w:rPr>
          <w:sz w:val="21"/>
          <w:szCs w:val="21"/>
        </w:rPr>
        <w:t xml:space="preserve"> a ostatné osobné vyrovnania</w:t>
      </w:r>
      <w:r w:rsidR="00250D0F" w:rsidRPr="001736B4">
        <w:rPr>
          <w:sz w:val="21"/>
          <w:szCs w:val="21"/>
        </w:rPr>
        <w:t>,</w:t>
      </w:r>
      <w:r w:rsidRPr="001736B4">
        <w:rPr>
          <w:sz w:val="21"/>
          <w:szCs w:val="21"/>
        </w:rPr>
        <w:t xml:space="preserve"> poistné a príspevok do poisťovní pre opatrovateľov.   </w:t>
      </w:r>
    </w:p>
    <w:p w:rsidR="001D58CF" w:rsidRPr="001736B4" w:rsidRDefault="001D58CF" w:rsidP="00D76C3C">
      <w:pPr>
        <w:spacing w:after="0" w:line="240" w:lineRule="auto"/>
        <w:jc w:val="both"/>
        <w:rPr>
          <w:sz w:val="21"/>
          <w:szCs w:val="21"/>
        </w:rPr>
      </w:pPr>
    </w:p>
    <w:p w:rsidR="00D76C3C" w:rsidRPr="001736B4" w:rsidRDefault="00D76C3C" w:rsidP="00357B9B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B81132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8.2 Sociálna pomoc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B81132" w:rsidRPr="001736B4" w:rsidRDefault="00792C5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2 000</w:t>
            </w: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792C5D" w:rsidRPr="001736B4" w:rsidRDefault="00A525EF" w:rsidP="0079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B81132" w:rsidRPr="001736B4" w:rsidRDefault="00792C5D" w:rsidP="00792C5D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2 000</w:t>
            </w:r>
          </w:p>
        </w:tc>
        <w:tc>
          <w:tcPr>
            <w:tcW w:w="639" w:type="pct"/>
            <w:shd w:val="clear" w:color="auto" w:fill="FFFFFF" w:themeFill="background1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B81132" w:rsidRPr="001736B4" w:rsidRDefault="00792C5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D76C3C" w:rsidRPr="001736B4" w:rsidRDefault="00D76C3C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B800AC" w:rsidRPr="001736B4" w:rsidRDefault="00B800AC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792C5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2 000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792C5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2 000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792C5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D76C3C" w:rsidRPr="001736B4" w:rsidRDefault="00D76C3C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D76C3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D76C3C" w:rsidRPr="001736B4" w:rsidRDefault="00D76C3C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D76C3C" w:rsidRPr="001736B4" w:rsidRDefault="00D76C3C" w:rsidP="00292242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 xml:space="preserve">Zabezpečiť </w:t>
            </w:r>
            <w:r w:rsidR="00292242" w:rsidRPr="001736B4">
              <w:rPr>
                <w:rFonts w:ascii="Times New Roman" w:hAnsi="Times New Roman"/>
                <w:b w:val="0"/>
                <w:sz w:val="15"/>
                <w:szCs w:val="15"/>
              </w:rPr>
              <w:t>pomoc v zložitej životnej situácii</w:t>
            </w:r>
          </w:p>
        </w:tc>
      </w:tr>
      <w:tr w:rsidR="00D76C3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D76C3C" w:rsidRPr="001736B4" w:rsidRDefault="00D76C3C" w:rsidP="002922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Počet </w:t>
            </w:r>
            <w:r w:rsidR="00292242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občanov, ktorým sa zabezpečila pomoc v zložitej situácii</w:t>
            </w:r>
          </w:p>
        </w:tc>
      </w:tr>
      <w:tr w:rsidR="00D76C3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D76C3C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5B05EA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D76C3C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5B05EA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D76C3C" w:rsidRPr="001736B4" w:rsidRDefault="00D76C3C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D76C3C" w:rsidRPr="001736B4" w:rsidRDefault="0094526E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V podprograme Sociálna pomoc sú rozpočtované výdavky pre výpomoci  občanom, ktorí sa ocitli v ťažkej finančnej alebo zdravotnej situácii.</w:t>
      </w:r>
    </w:p>
    <w:p w:rsidR="0094526E" w:rsidRDefault="0094526E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6587"/>
        <w:gridCol w:w="1365"/>
        <w:gridCol w:w="1365"/>
        <w:gridCol w:w="1365"/>
      </w:tblGrid>
      <w:tr w:rsidR="00B81132" w:rsidRPr="001736B4" w:rsidTr="00A474FB">
        <w:trPr>
          <w:trHeight w:val="641"/>
        </w:trPr>
        <w:tc>
          <w:tcPr>
            <w:tcW w:w="3083" w:type="pct"/>
            <w:shd w:val="clear" w:color="auto" w:fill="FFFFFF" w:themeFill="background1"/>
            <w:vAlign w:val="center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8.3 Dávky hmotnej núdze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SCHVÁLENÝ</w:t>
            </w: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1 500</w:t>
            </w: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</w:p>
          <w:p w:rsidR="0084589C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B81132" w:rsidRPr="001736B4" w:rsidRDefault="0084589C" w:rsidP="0084589C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3"/>
                <w:lang w:eastAsia="sk-SK"/>
              </w:rPr>
              <w:t>1 500</w:t>
            </w:r>
          </w:p>
        </w:tc>
        <w:tc>
          <w:tcPr>
            <w:tcW w:w="639" w:type="pct"/>
            <w:shd w:val="clear" w:color="auto" w:fill="FFFFFF" w:themeFill="background1"/>
          </w:tcPr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B81132" w:rsidRPr="001736B4" w:rsidRDefault="00B81132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B81132" w:rsidRPr="001736B4" w:rsidRDefault="0084589C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B81132" w:rsidRPr="001736B4" w:rsidRDefault="00B81132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B800AC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</w:t>
      </w:r>
    </w:p>
    <w:p w:rsidR="00B800AC" w:rsidRPr="001736B4" w:rsidRDefault="00B800AC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113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1 500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1 500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84589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0</w:t>
            </w:r>
          </w:p>
        </w:tc>
      </w:tr>
    </w:tbl>
    <w:p w:rsidR="0094526E" w:rsidRPr="001736B4" w:rsidRDefault="0094526E" w:rsidP="001D58CF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94526E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94526E" w:rsidRPr="001736B4" w:rsidRDefault="0094526E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br w:type="page"/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94526E" w:rsidRPr="001736B4" w:rsidRDefault="0094526E" w:rsidP="0094526E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pomoc pre deti v hmotnej núdzi</w:t>
            </w:r>
          </w:p>
        </w:tc>
      </w:tr>
      <w:tr w:rsidR="0094526E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detí prijímajúcich dávku za rok</w:t>
            </w:r>
          </w:p>
        </w:tc>
      </w:tr>
      <w:tr w:rsidR="0094526E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94526E" w:rsidRPr="001736B4" w:rsidTr="0094526E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94526E" w:rsidRPr="001736B4" w:rsidTr="0094526E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94526E" w:rsidRPr="001736B4" w:rsidRDefault="0094526E" w:rsidP="009452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2F07D6" w:rsidRPr="001736B4" w:rsidRDefault="002F07D6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5D4068" w:rsidRPr="001736B4" w:rsidRDefault="00F836D1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Dotácia v pôsobnosti MPSVaR </w:t>
      </w:r>
      <w:r w:rsidR="005D4068" w:rsidRPr="001736B4">
        <w:rPr>
          <w:sz w:val="21"/>
          <w:szCs w:val="21"/>
        </w:rPr>
        <w:t>SR</w:t>
      </w:r>
      <w:r w:rsidRPr="001736B4">
        <w:rPr>
          <w:sz w:val="21"/>
          <w:szCs w:val="21"/>
        </w:rPr>
        <w:t xml:space="preserve"> </w:t>
      </w:r>
      <w:r w:rsidR="00763432" w:rsidRPr="001736B4">
        <w:rPr>
          <w:sz w:val="21"/>
          <w:szCs w:val="21"/>
        </w:rPr>
        <w:t xml:space="preserve">získaná </w:t>
      </w:r>
      <w:r w:rsidRPr="001736B4">
        <w:rPr>
          <w:sz w:val="21"/>
          <w:szCs w:val="21"/>
        </w:rPr>
        <w:t>na základe podaných žiadostí  je určená pre deti zo sociálne slabších rodín na stravu a školské potreby</w:t>
      </w:r>
    </w:p>
    <w:p w:rsidR="002F07D6" w:rsidRDefault="002F07D6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Default="001736B4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Default="001736B4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736B4" w:rsidRPr="001736B4" w:rsidRDefault="001736B4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tbl>
      <w:tblPr>
        <w:tblW w:w="5000" w:type="pct"/>
        <w:shd w:val="clear" w:color="auto" w:fill="B2A1C7" w:themeFill="accent4" w:themeFillTint="99"/>
        <w:tblLook w:val="01E0"/>
      </w:tblPr>
      <w:tblGrid>
        <w:gridCol w:w="5181"/>
        <w:gridCol w:w="2119"/>
        <w:gridCol w:w="2017"/>
        <w:gridCol w:w="1365"/>
      </w:tblGrid>
      <w:tr w:rsidR="00FC359D" w:rsidRPr="001736B4" w:rsidTr="00A474FB">
        <w:trPr>
          <w:trHeight w:val="641"/>
        </w:trPr>
        <w:tc>
          <w:tcPr>
            <w:tcW w:w="2425" w:type="pct"/>
            <w:shd w:val="clear" w:color="auto" w:fill="B2A1C7" w:themeFill="accent4" w:themeFillTint="99"/>
            <w:vAlign w:val="center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sk-SK"/>
              </w:rPr>
              <w:t>9.  BÝVANIE</w:t>
            </w:r>
          </w:p>
        </w:tc>
        <w:tc>
          <w:tcPr>
            <w:tcW w:w="992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5"/>
                <w:szCs w:val="15"/>
                <w:lang w:eastAsia="sk-SK"/>
              </w:rPr>
            </w:pP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SCHVÁLENÝ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sk-SK"/>
              </w:rPr>
              <w:t>123 596</w:t>
            </w:r>
          </w:p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944" w:type="pct"/>
            <w:shd w:val="clear" w:color="auto" w:fill="B2A1C7" w:themeFill="accent4" w:themeFillTint="99"/>
          </w:tcPr>
          <w:p w:rsidR="00FC359D" w:rsidRPr="001736B4" w:rsidRDefault="00FC359D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  <w:p w:rsidR="00593E6D" w:rsidRPr="001736B4" w:rsidRDefault="00A525EF" w:rsidP="00A4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15"/>
                <w:szCs w:val="15"/>
                <w:lang w:eastAsia="sk-SK"/>
              </w:rPr>
              <w:t>RO č. 1</w:t>
            </w:r>
          </w:p>
          <w:p w:rsidR="00FC359D" w:rsidRPr="001736B4" w:rsidRDefault="00593E6D" w:rsidP="00593E6D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sz w:val="23"/>
                <w:szCs w:val="24"/>
                <w:lang w:eastAsia="sk-SK"/>
              </w:rPr>
              <w:t>122 596</w:t>
            </w:r>
          </w:p>
        </w:tc>
        <w:tc>
          <w:tcPr>
            <w:tcW w:w="639" w:type="pct"/>
            <w:shd w:val="clear" w:color="auto" w:fill="B2A1C7" w:themeFill="accent4" w:themeFillTint="99"/>
            <w:vAlign w:val="center"/>
          </w:tcPr>
          <w:p w:rsidR="00FC359D" w:rsidRPr="001736B4" w:rsidRDefault="00FC359D" w:rsidP="0059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ROZDIEL</w:t>
            </w:r>
          </w:p>
          <w:p w:rsidR="00FC359D" w:rsidRPr="001736B4" w:rsidRDefault="00593E6D" w:rsidP="0059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sk-SK"/>
              </w:rPr>
              <w:t>-1 000</w:t>
            </w:r>
          </w:p>
        </w:tc>
      </w:tr>
    </w:tbl>
    <w:p w:rsidR="005D4068" w:rsidRPr="001736B4" w:rsidRDefault="005D4068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5D4068" w:rsidRPr="001736B4" w:rsidRDefault="005D4068" w:rsidP="002F07D6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b/>
          <w:sz w:val="21"/>
          <w:szCs w:val="21"/>
        </w:rPr>
        <w:t>Zámer</w:t>
      </w:r>
      <w:r w:rsidRPr="001736B4">
        <w:rPr>
          <w:sz w:val="21"/>
          <w:szCs w:val="21"/>
        </w:rPr>
        <w:t>:  Dostupné nájomné bývanie</w:t>
      </w:r>
    </w:p>
    <w:p w:rsidR="002F07D6" w:rsidRPr="001736B4" w:rsidRDefault="002F07D6" w:rsidP="002F07D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D4068" w:rsidRPr="001736B4" w:rsidRDefault="002F07D6" w:rsidP="001D58C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736B4">
        <w:rPr>
          <w:rFonts w:ascii="Times New Roman" w:hAnsi="Times New Roman"/>
          <w:sz w:val="21"/>
          <w:szCs w:val="21"/>
        </w:rPr>
        <w:t xml:space="preserve">Zodpovednosť:      Starosta obce      </w:t>
      </w:r>
    </w:p>
    <w:p w:rsidR="001D58CF" w:rsidRPr="001736B4" w:rsidRDefault="001D58CF" w:rsidP="001D58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1E0"/>
      </w:tblPr>
      <w:tblGrid>
        <w:gridCol w:w="2670"/>
        <w:gridCol w:w="2670"/>
        <w:gridCol w:w="2671"/>
        <w:gridCol w:w="2671"/>
      </w:tblGrid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Rozpočet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schválený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A474FB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rozpočt. opatrenie č. 1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736B4">
              <w:rPr>
                <w:rFonts w:ascii="Times New Roman" w:hAnsi="Times New Roman"/>
                <w:b/>
                <w:sz w:val="19"/>
                <w:szCs w:val="19"/>
              </w:rPr>
              <w:t>rozdiel</w:t>
            </w:r>
          </w:p>
        </w:tc>
      </w:tr>
      <w:tr w:rsidR="00B800AC" w:rsidRPr="001736B4" w:rsidTr="00A474FB">
        <w:trPr>
          <w:trHeight w:val="454"/>
        </w:trPr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00AC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9"/>
                <w:szCs w:val="19"/>
              </w:rPr>
              <w:t>(v EUR)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B81132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123 596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593E6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122 596</w:t>
            </w:r>
          </w:p>
        </w:tc>
        <w:tc>
          <w:tcPr>
            <w:tcW w:w="1250" w:type="pct"/>
            <w:shd w:val="pct5" w:color="auto" w:fill="FFFFFF" w:themeFill="background1"/>
            <w:vAlign w:val="center"/>
          </w:tcPr>
          <w:p w:rsidR="00B800AC" w:rsidRPr="001736B4" w:rsidRDefault="00593E6D" w:rsidP="00A47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7"/>
                <w:szCs w:val="17"/>
              </w:rPr>
            </w:pPr>
            <w:r w:rsidRPr="001736B4">
              <w:rPr>
                <w:rFonts w:ascii="Times New Roman" w:hAnsi="Times New Roman"/>
                <w:b/>
                <w:color w:val="003300"/>
                <w:sz w:val="17"/>
                <w:szCs w:val="17"/>
              </w:rPr>
              <w:t>-1 000</w:t>
            </w:r>
          </w:p>
        </w:tc>
      </w:tr>
    </w:tbl>
    <w:p w:rsidR="00B800AC" w:rsidRPr="001736B4" w:rsidRDefault="00B800AC" w:rsidP="005D4068">
      <w:pPr>
        <w:tabs>
          <w:tab w:val="left" w:pos="2977"/>
        </w:tabs>
        <w:spacing w:line="240" w:lineRule="auto"/>
        <w:rPr>
          <w:sz w:val="21"/>
          <w:szCs w:val="21"/>
        </w:rPr>
      </w:pPr>
    </w:p>
    <w:tbl>
      <w:tblPr>
        <w:tblW w:w="5047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6" w:space="0" w:color="FFFFFF"/>
          <w:insideV w:val="single" w:sz="6" w:space="0" w:color="FFFFFF"/>
        </w:tblBorders>
        <w:shd w:val="clear" w:color="auto" w:fill="E0E0E0"/>
        <w:tblLook w:val="01E0"/>
      </w:tblPr>
      <w:tblGrid>
        <w:gridCol w:w="1924"/>
        <w:gridCol w:w="1788"/>
        <w:gridCol w:w="1630"/>
        <w:gridCol w:w="1794"/>
        <w:gridCol w:w="1794"/>
        <w:gridCol w:w="1852"/>
      </w:tblGrid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5D4068" w:rsidRPr="001736B4" w:rsidRDefault="005D4068" w:rsidP="00EA3707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Cieľ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5D4068" w:rsidRPr="001736B4" w:rsidRDefault="005D4068" w:rsidP="00881153">
            <w:pPr>
              <w:pStyle w:val="Cie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1736B4">
              <w:rPr>
                <w:rFonts w:ascii="Times New Roman" w:hAnsi="Times New Roman"/>
                <w:b w:val="0"/>
                <w:sz w:val="15"/>
                <w:szCs w:val="15"/>
              </w:rPr>
              <w:t>Zabezpečiť údržbu bytového a nebytového fondu a</w:t>
            </w:r>
            <w:r w:rsidR="00881153" w:rsidRPr="001736B4">
              <w:rPr>
                <w:rFonts w:ascii="Times New Roman" w:hAnsi="Times New Roman"/>
                <w:b w:val="0"/>
                <w:sz w:val="15"/>
                <w:szCs w:val="15"/>
              </w:rPr>
              <w:t> splácanie úverov zo ŠFRB</w:t>
            </w:r>
          </w:p>
        </w:tc>
      </w:tr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Merateľný ukazovateľ:</w:t>
            </w:r>
          </w:p>
        </w:tc>
        <w:tc>
          <w:tcPr>
            <w:tcW w:w="4108" w:type="pct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E5DFEC" w:themeFill="accent4" w:themeFillTint="33"/>
            <w:vAlign w:val="center"/>
          </w:tcPr>
          <w:p w:rsidR="005D4068" w:rsidRPr="001736B4" w:rsidRDefault="005D4068" w:rsidP="005D40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Počet spravovaných bytových jednotiek/ počet splácaných úverov</w:t>
            </w:r>
          </w:p>
        </w:tc>
      </w:tr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Rok 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2010</w:t>
            </w: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2011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2012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2013</w:t>
            </w: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2014</w:t>
            </w:r>
          </w:p>
        </w:tc>
      </w:tr>
      <w:tr w:rsidR="005D4068" w:rsidRPr="001736B4" w:rsidTr="00EA3707"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Plánovaná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5B05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 xml:space="preserve">72 / </w:t>
            </w:r>
            <w:r w:rsidR="005B05EA" w:rsidRPr="001736B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sk-SK"/>
              </w:rPr>
              <w:t>4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5D4068" w:rsidRPr="001736B4" w:rsidTr="00EA3707">
        <w:trPr>
          <w:trHeight w:val="412"/>
        </w:trPr>
        <w:tc>
          <w:tcPr>
            <w:tcW w:w="89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Skutočná hodnota</w:t>
            </w:r>
          </w:p>
        </w:tc>
        <w:tc>
          <w:tcPr>
            <w:tcW w:w="82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756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5B05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 xml:space="preserve">72 / </w:t>
            </w:r>
            <w:r w:rsidR="005B05EA" w:rsidRPr="001736B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  <w:t>4</w:t>
            </w: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85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:rsidR="005D4068" w:rsidRPr="001736B4" w:rsidRDefault="005D4068" w:rsidP="00EA37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</w:tbl>
    <w:p w:rsidR="005D4068" w:rsidRPr="001736B4" w:rsidRDefault="005D4068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881153" w:rsidRPr="001736B4" w:rsidRDefault="0088115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Program predstavuje riešenie bytovej situácie v rámci obecného bytového fondu a nebytových priestorov, riešenie problémov vzniknutých po dostavbe 3 nájomných domoch vo vlastníctve obce z celkovým počtom bytov 72, ako aj dodržiavanie platobnej disciplíny k úverom poskytnutých zo ŠFRB.</w:t>
      </w: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590F12" w:rsidRDefault="00590F12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590F12" w:rsidRDefault="00590F12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1F61" w:rsidRPr="001736B4" w:rsidRDefault="00191F61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Vypracovala: Ing. Iveta Lorencová</w:t>
      </w: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>Nedožery-Brezany, 2</w:t>
      </w:r>
      <w:r w:rsidR="00593E6D" w:rsidRPr="001736B4">
        <w:rPr>
          <w:sz w:val="21"/>
          <w:szCs w:val="21"/>
        </w:rPr>
        <w:t>6</w:t>
      </w:r>
      <w:r w:rsidRPr="001736B4">
        <w:rPr>
          <w:sz w:val="21"/>
          <w:szCs w:val="21"/>
        </w:rPr>
        <w:t>.</w:t>
      </w:r>
      <w:r w:rsidR="00593E6D" w:rsidRPr="001736B4">
        <w:rPr>
          <w:sz w:val="21"/>
          <w:szCs w:val="21"/>
        </w:rPr>
        <w:t>11</w:t>
      </w:r>
      <w:r w:rsidRPr="001736B4">
        <w:rPr>
          <w:sz w:val="21"/>
          <w:szCs w:val="21"/>
        </w:rPr>
        <w:t>.2012                                                              JUDr. Martin Mokrý</w:t>
      </w: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t xml:space="preserve">                                                                                                                         Starosta obce</w:t>
      </w: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p w:rsidR="00192ED3" w:rsidRPr="001736B4" w:rsidRDefault="00192ED3" w:rsidP="00D76C3C">
      <w:pPr>
        <w:tabs>
          <w:tab w:val="left" w:pos="2977"/>
        </w:tabs>
        <w:spacing w:after="0" w:line="240" w:lineRule="auto"/>
        <w:rPr>
          <w:sz w:val="21"/>
          <w:szCs w:val="21"/>
        </w:rPr>
      </w:pPr>
    </w:p>
    <w:sectPr w:rsidR="00192ED3" w:rsidRPr="001736B4" w:rsidSect="001736B4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F1" w:rsidRPr="001736B4" w:rsidRDefault="00D158F1" w:rsidP="00A95C86">
      <w:pPr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separator/>
      </w:r>
    </w:p>
  </w:endnote>
  <w:endnote w:type="continuationSeparator" w:id="0">
    <w:p w:rsidR="00D158F1" w:rsidRPr="001736B4" w:rsidRDefault="00D158F1" w:rsidP="00A95C86">
      <w:pPr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8738818"/>
      <w:docPartObj>
        <w:docPartGallery w:val="Page Numbers (Bottom of Page)"/>
        <w:docPartUnique/>
      </w:docPartObj>
    </w:sdtPr>
    <w:sdtContent>
      <w:p w:rsidR="00E32271" w:rsidRPr="001736B4" w:rsidRDefault="00D16C09">
        <w:pPr>
          <w:pStyle w:val="Pta"/>
          <w:jc w:val="right"/>
          <w:rPr>
            <w:sz w:val="21"/>
            <w:szCs w:val="21"/>
          </w:rPr>
        </w:pPr>
        <w:r w:rsidRPr="001736B4">
          <w:rPr>
            <w:sz w:val="21"/>
            <w:szCs w:val="21"/>
          </w:rPr>
          <w:fldChar w:fldCharType="begin"/>
        </w:r>
        <w:r w:rsidR="00E32271" w:rsidRPr="001736B4">
          <w:rPr>
            <w:sz w:val="21"/>
            <w:szCs w:val="21"/>
          </w:rPr>
          <w:instrText xml:space="preserve"> PAGE   \* MERGEFORMAT </w:instrText>
        </w:r>
        <w:r w:rsidRPr="001736B4">
          <w:rPr>
            <w:sz w:val="21"/>
            <w:szCs w:val="21"/>
          </w:rPr>
          <w:fldChar w:fldCharType="separate"/>
        </w:r>
        <w:r w:rsidR="00D158F1">
          <w:rPr>
            <w:noProof/>
            <w:sz w:val="21"/>
            <w:szCs w:val="21"/>
          </w:rPr>
          <w:t>1</w:t>
        </w:r>
        <w:r w:rsidRPr="001736B4">
          <w:rPr>
            <w:sz w:val="21"/>
            <w:szCs w:val="21"/>
          </w:rPr>
          <w:fldChar w:fldCharType="end"/>
        </w:r>
      </w:p>
    </w:sdtContent>
  </w:sdt>
  <w:p w:rsidR="00E32271" w:rsidRPr="001736B4" w:rsidRDefault="00E32271">
    <w:pPr>
      <w:pStyle w:val="Pt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F1" w:rsidRPr="001736B4" w:rsidRDefault="00D158F1" w:rsidP="00A95C86">
      <w:pPr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separator/>
      </w:r>
    </w:p>
  </w:footnote>
  <w:footnote w:type="continuationSeparator" w:id="0">
    <w:p w:rsidR="00D158F1" w:rsidRPr="001736B4" w:rsidRDefault="00D158F1" w:rsidP="00A95C86">
      <w:pPr>
        <w:spacing w:after="0" w:line="240" w:lineRule="auto"/>
        <w:rPr>
          <w:sz w:val="21"/>
          <w:szCs w:val="21"/>
        </w:rPr>
      </w:pPr>
      <w:r w:rsidRPr="001736B4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71" w:rsidRPr="001736B4" w:rsidRDefault="00E32271" w:rsidP="00A95C86">
    <w:pPr>
      <w:pStyle w:val="Hlavika"/>
      <w:tabs>
        <w:tab w:val="clear" w:pos="4536"/>
      </w:tabs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5C86"/>
    <w:rsid w:val="00027C26"/>
    <w:rsid w:val="00035180"/>
    <w:rsid w:val="0003737A"/>
    <w:rsid w:val="000437A4"/>
    <w:rsid w:val="00043CE0"/>
    <w:rsid w:val="00071CC2"/>
    <w:rsid w:val="0007314D"/>
    <w:rsid w:val="00083BC4"/>
    <w:rsid w:val="000A1E67"/>
    <w:rsid w:val="000D50B5"/>
    <w:rsid w:val="000D5277"/>
    <w:rsid w:val="000E2500"/>
    <w:rsid w:val="0010498F"/>
    <w:rsid w:val="00133C40"/>
    <w:rsid w:val="001535C5"/>
    <w:rsid w:val="001573A3"/>
    <w:rsid w:val="00166028"/>
    <w:rsid w:val="0017032D"/>
    <w:rsid w:val="001736B4"/>
    <w:rsid w:val="00181307"/>
    <w:rsid w:val="0018591F"/>
    <w:rsid w:val="00191F61"/>
    <w:rsid w:val="00192ED3"/>
    <w:rsid w:val="001C0D86"/>
    <w:rsid w:val="001D0879"/>
    <w:rsid w:val="001D3B1E"/>
    <w:rsid w:val="001D58CF"/>
    <w:rsid w:val="001E721B"/>
    <w:rsid w:val="001F68F8"/>
    <w:rsid w:val="00205515"/>
    <w:rsid w:val="002167A6"/>
    <w:rsid w:val="00223B0A"/>
    <w:rsid w:val="00226036"/>
    <w:rsid w:val="0022706A"/>
    <w:rsid w:val="00231DEB"/>
    <w:rsid w:val="00250D0F"/>
    <w:rsid w:val="0027441C"/>
    <w:rsid w:val="002842A0"/>
    <w:rsid w:val="00292242"/>
    <w:rsid w:val="00294D6F"/>
    <w:rsid w:val="002A464B"/>
    <w:rsid w:val="002A77D0"/>
    <w:rsid w:val="002B655C"/>
    <w:rsid w:val="002C3659"/>
    <w:rsid w:val="002F07D6"/>
    <w:rsid w:val="002F0BF6"/>
    <w:rsid w:val="003147E9"/>
    <w:rsid w:val="0032625B"/>
    <w:rsid w:val="00343D36"/>
    <w:rsid w:val="003475F2"/>
    <w:rsid w:val="00350387"/>
    <w:rsid w:val="00357B9B"/>
    <w:rsid w:val="00360B3E"/>
    <w:rsid w:val="003771B9"/>
    <w:rsid w:val="00396B65"/>
    <w:rsid w:val="0041220C"/>
    <w:rsid w:val="00413011"/>
    <w:rsid w:val="00432543"/>
    <w:rsid w:val="00433972"/>
    <w:rsid w:val="0045665C"/>
    <w:rsid w:val="00461051"/>
    <w:rsid w:val="00463D80"/>
    <w:rsid w:val="004735CE"/>
    <w:rsid w:val="004762C5"/>
    <w:rsid w:val="00477329"/>
    <w:rsid w:val="00480314"/>
    <w:rsid w:val="00494E6F"/>
    <w:rsid w:val="004A2AE7"/>
    <w:rsid w:val="00511C1E"/>
    <w:rsid w:val="005218DC"/>
    <w:rsid w:val="00522D99"/>
    <w:rsid w:val="005316FE"/>
    <w:rsid w:val="00545538"/>
    <w:rsid w:val="0056661A"/>
    <w:rsid w:val="00585C2E"/>
    <w:rsid w:val="00590F12"/>
    <w:rsid w:val="00592F76"/>
    <w:rsid w:val="00593E6D"/>
    <w:rsid w:val="005B05EA"/>
    <w:rsid w:val="005B6A4B"/>
    <w:rsid w:val="005C2476"/>
    <w:rsid w:val="005D4068"/>
    <w:rsid w:val="006321EC"/>
    <w:rsid w:val="00640FAE"/>
    <w:rsid w:val="00642606"/>
    <w:rsid w:val="00642EE6"/>
    <w:rsid w:val="00651679"/>
    <w:rsid w:val="00671208"/>
    <w:rsid w:val="00675777"/>
    <w:rsid w:val="0067635E"/>
    <w:rsid w:val="006806C3"/>
    <w:rsid w:val="006A6509"/>
    <w:rsid w:val="006D3060"/>
    <w:rsid w:val="006E0A70"/>
    <w:rsid w:val="006E4EC8"/>
    <w:rsid w:val="006F7FA1"/>
    <w:rsid w:val="0071091F"/>
    <w:rsid w:val="00711188"/>
    <w:rsid w:val="00716AB6"/>
    <w:rsid w:val="00727654"/>
    <w:rsid w:val="007338FF"/>
    <w:rsid w:val="00762954"/>
    <w:rsid w:val="00763432"/>
    <w:rsid w:val="0076730D"/>
    <w:rsid w:val="00774657"/>
    <w:rsid w:val="00792C5D"/>
    <w:rsid w:val="007A0724"/>
    <w:rsid w:val="007A6A21"/>
    <w:rsid w:val="007C1CA3"/>
    <w:rsid w:val="007E21F2"/>
    <w:rsid w:val="00807DDA"/>
    <w:rsid w:val="0081265C"/>
    <w:rsid w:val="008444EE"/>
    <w:rsid w:val="0084589C"/>
    <w:rsid w:val="00846561"/>
    <w:rsid w:val="00854C85"/>
    <w:rsid w:val="00881153"/>
    <w:rsid w:val="00882A06"/>
    <w:rsid w:val="008959FA"/>
    <w:rsid w:val="008A0B68"/>
    <w:rsid w:val="008A6252"/>
    <w:rsid w:val="008B2F23"/>
    <w:rsid w:val="008C0651"/>
    <w:rsid w:val="008E7803"/>
    <w:rsid w:val="009076BD"/>
    <w:rsid w:val="00910355"/>
    <w:rsid w:val="00922ACB"/>
    <w:rsid w:val="009339F2"/>
    <w:rsid w:val="0094526E"/>
    <w:rsid w:val="009A6CE4"/>
    <w:rsid w:val="009E12BD"/>
    <w:rsid w:val="009E7011"/>
    <w:rsid w:val="00A041D9"/>
    <w:rsid w:val="00A06B68"/>
    <w:rsid w:val="00A07C17"/>
    <w:rsid w:val="00A315E0"/>
    <w:rsid w:val="00A474FB"/>
    <w:rsid w:val="00A525EF"/>
    <w:rsid w:val="00A6142D"/>
    <w:rsid w:val="00A6724B"/>
    <w:rsid w:val="00A768CC"/>
    <w:rsid w:val="00A95C86"/>
    <w:rsid w:val="00AC4FEF"/>
    <w:rsid w:val="00AD334D"/>
    <w:rsid w:val="00AE5B42"/>
    <w:rsid w:val="00AF10F2"/>
    <w:rsid w:val="00B20190"/>
    <w:rsid w:val="00B345D7"/>
    <w:rsid w:val="00B40397"/>
    <w:rsid w:val="00B462A1"/>
    <w:rsid w:val="00B642AB"/>
    <w:rsid w:val="00B800AC"/>
    <w:rsid w:val="00B81132"/>
    <w:rsid w:val="00B8129D"/>
    <w:rsid w:val="00BA0DC9"/>
    <w:rsid w:val="00BC3552"/>
    <w:rsid w:val="00C14A33"/>
    <w:rsid w:val="00C22498"/>
    <w:rsid w:val="00C43782"/>
    <w:rsid w:val="00C5489C"/>
    <w:rsid w:val="00C558FB"/>
    <w:rsid w:val="00C63112"/>
    <w:rsid w:val="00C81D61"/>
    <w:rsid w:val="00C83C1B"/>
    <w:rsid w:val="00CB7750"/>
    <w:rsid w:val="00D158F1"/>
    <w:rsid w:val="00D16C09"/>
    <w:rsid w:val="00D24B04"/>
    <w:rsid w:val="00D76C3C"/>
    <w:rsid w:val="00D84C29"/>
    <w:rsid w:val="00D86FFF"/>
    <w:rsid w:val="00D9224B"/>
    <w:rsid w:val="00DA48E1"/>
    <w:rsid w:val="00DB082C"/>
    <w:rsid w:val="00DD1E33"/>
    <w:rsid w:val="00DE2F9B"/>
    <w:rsid w:val="00E0383A"/>
    <w:rsid w:val="00E106A6"/>
    <w:rsid w:val="00E210F9"/>
    <w:rsid w:val="00E311DD"/>
    <w:rsid w:val="00E32271"/>
    <w:rsid w:val="00E36CBB"/>
    <w:rsid w:val="00E50440"/>
    <w:rsid w:val="00E72E97"/>
    <w:rsid w:val="00E83545"/>
    <w:rsid w:val="00EA1A15"/>
    <w:rsid w:val="00EA3707"/>
    <w:rsid w:val="00EE2F6B"/>
    <w:rsid w:val="00EE337D"/>
    <w:rsid w:val="00F023C6"/>
    <w:rsid w:val="00F065E9"/>
    <w:rsid w:val="00F206E9"/>
    <w:rsid w:val="00F267E1"/>
    <w:rsid w:val="00F315A8"/>
    <w:rsid w:val="00F551E5"/>
    <w:rsid w:val="00F766D7"/>
    <w:rsid w:val="00F821A5"/>
    <w:rsid w:val="00F836D1"/>
    <w:rsid w:val="00F91B5E"/>
    <w:rsid w:val="00FB16D1"/>
    <w:rsid w:val="00FC359D"/>
    <w:rsid w:val="00FF0F7D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C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e">
    <w:name w:val="Cieľ"/>
    <w:basedOn w:val="Normlny"/>
    <w:qFormat/>
    <w:rsid w:val="00A95C86"/>
    <w:pPr>
      <w:autoSpaceDE w:val="0"/>
      <w:autoSpaceDN w:val="0"/>
      <w:adjustRightInd w:val="0"/>
      <w:spacing w:before="120" w:after="120" w:line="240" w:lineRule="auto"/>
      <w:jc w:val="both"/>
    </w:pPr>
    <w:rPr>
      <w:rFonts w:ascii="Arial Narrow" w:eastAsia="Times New Roman" w:hAnsi="Arial Narrow"/>
      <w:b/>
      <w:bCs/>
      <w:color w:val="000000"/>
      <w:sz w:val="20"/>
      <w:szCs w:val="20"/>
      <w:lang w:eastAsia="sk-SK"/>
    </w:rPr>
  </w:style>
  <w:style w:type="paragraph" w:customStyle="1" w:styleId="Ukazovate">
    <w:name w:val="Ukazovateľ"/>
    <w:basedOn w:val="Normlny"/>
    <w:qFormat/>
    <w:rsid w:val="00A95C86"/>
    <w:pPr>
      <w:autoSpaceDE w:val="0"/>
      <w:autoSpaceDN w:val="0"/>
      <w:adjustRightInd w:val="0"/>
      <w:spacing w:before="120" w:after="120" w:line="240" w:lineRule="auto"/>
    </w:pPr>
    <w:rPr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A9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5C8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C8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3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D0D7-B594-4D60-BE82-19C0F83B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Asepko</dc:creator>
  <cp:lastModifiedBy>obecný úrad</cp:lastModifiedBy>
  <cp:revision>2</cp:revision>
  <cp:lastPrinted>2012-12-12T14:20:00Z</cp:lastPrinted>
  <dcterms:created xsi:type="dcterms:W3CDTF">2012-12-19T10:22:00Z</dcterms:created>
  <dcterms:modified xsi:type="dcterms:W3CDTF">2012-12-19T10:22:00Z</dcterms:modified>
</cp:coreProperties>
</file>